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B2545"/>
          <w:sz w:val="44"/>
        </w:rPr>
        <w:t>NyrA Swarm Little Buddy Legal Review Packet</w:t>
      </w:r>
    </w:p>
    <w:p>
      <w:pPr>
        <w:pStyle w:val="BodyText"/>
      </w:pPr>
      <w:r>
        <w:rPr>
          <w:b/>
        </w:rPr>
        <w:t xml:space="preserve">Draft packet for attorney/accountant review. </w:t>
      </w:r>
      <w:r>
        <w:t>Generated 2026-05-31. Scope is the Swarm Little Buddy desktop app only.</w:t>
      </w:r>
    </w:p>
    <w:tbl>
      <w:tblPr>
        <w:tblW w:type="auto" w:w="0"/>
        <w:jc w:val="center"/>
        <w:tblLook w:firstColumn="1" w:firstRow="1" w:lastColumn="0" w:lastRow="0" w:noHBand="0" w:noVBand="1" w:val="04A0"/>
      </w:tblPr>
      <w:tblGrid>
        <w:gridCol w:w="9360"/>
      </w:tblGrid>
      <w:tr>
        <w:tc>
          <w:tcPr>
            <w:tcW w:type="dxa" w:w="9360"/>
            <w:shd w:fill="FFF7ED"/>
          </w:tcPr>
          <w:p>
            <w:pPr>
              <w:pStyle w:val="BodyText"/>
            </w:pPr>
            <w:r>
              <w:rPr>
                <w:b/>
              </w:rPr>
              <w:t>Publication blocker: do not publish these policies or take live payments until support inbox, legal entity/contact, domain, public policy URLs, pricing, hosted AI cap, and attorney review are complete.</w:t>
            </w:r>
          </w:p>
        </w:tc>
      </w:tr>
    </w:tbl>
    <w:p/>
    <w:p>
      <w:pPr>
        <w:pStyle w:val="Heading1"/>
      </w:pPr>
      <w:r>
        <w:t>Appendix 1: NyrA Legal Review Packet</w:t>
      </w:r>
    </w:p>
    <w:p>
      <w:pPr>
        <w:pStyle w:val="BodyText"/>
      </w:pPr>
      <w:r>
        <w:t>Status: Draft packet for attorney/accountant review</w:t>
      </w:r>
    </w:p>
    <w:p>
      <w:pPr>
        <w:pStyle w:val="BodyText"/>
      </w:pPr>
      <w:r>
        <w:t>Last updated: 2026-05-31</w:t>
      </w:r>
    </w:p>
    <w:p>
      <w:pPr>
        <w:pStyle w:val="BodyText"/>
      </w:pPr>
      <w:r>
        <w:t>Scope: NyrA Swarm Little Buddy desktop app only</w:t>
      </w:r>
    </w:p>
    <w:p>
      <w:pPr>
        <w:pStyle w:val="BodyText"/>
      </w:pPr>
      <w:r>
        <w:t>This packet is a review handoff, not legal advice. It packages the policy drafts and open business decisions needed before a paid beta can safely take money.</w:t>
      </w:r>
    </w:p>
    <w:p>
      <w:pPr>
        <w:pStyle w:val="Heading2"/>
      </w:pPr>
      <w:r>
        <w:t>Packet Contents</w:t>
      </w:r>
    </w:p>
    <w:tbl>
      <w:tblPr>
        <w:tblStyle w:val="TableGrid"/>
        <w:tblW w:type="auto" w:w="0"/>
        <w:jc w:val="center"/>
        <w:tblLook w:firstColumn="1" w:firstRow="1" w:lastColumn="0" w:lastRow="0" w:noHBand="0" w:noVBand="1" w:val="04A0"/>
      </w:tblPr>
      <w:tblGrid>
        <w:gridCol w:w="3120"/>
        <w:gridCol w:w="3120"/>
        <w:gridCol w:w="3120"/>
      </w:tblGrid>
      <w:tr>
        <w:tc>
          <w:tcPr>
            <w:tcW w:type="dxa" w:w="2200"/>
            <w:vAlign w:val="center"/>
            <w:shd w:fill="F2F4F7"/>
          </w:tcPr>
          <w:p>
            <w:pPr>
              <w:pStyle w:val="BodyText"/>
              <w:spacing w:after="0"/>
            </w:pPr>
            <w:r>
              <w:rPr>
                <w:b/>
              </w:rPr>
              <w:t>File</w:t>
            </w:r>
          </w:p>
        </w:tc>
        <w:tc>
          <w:tcPr>
            <w:tcW w:type="dxa" w:w="3580"/>
            <w:vAlign w:val="center"/>
            <w:shd w:fill="F2F4F7"/>
          </w:tcPr>
          <w:p>
            <w:pPr>
              <w:pStyle w:val="BodyText"/>
              <w:spacing w:after="0"/>
            </w:pPr>
            <w:r>
              <w:rPr>
                <w:b/>
              </w:rPr>
              <w:t>Purpose</w:t>
            </w:r>
          </w:p>
        </w:tc>
        <w:tc>
          <w:tcPr>
            <w:tcW w:type="dxa" w:w="3580"/>
            <w:vAlign w:val="center"/>
            <w:shd w:fill="F2F4F7"/>
          </w:tcPr>
          <w:p>
            <w:pPr>
              <w:pStyle w:val="BodyText"/>
              <w:spacing w:after="0"/>
            </w:pPr>
            <w:r>
              <w:rPr>
                <w:b/>
              </w:rPr>
              <w:t>Status</w:t>
            </w:r>
          </w:p>
        </w:tc>
      </w:tr>
      <w:tr>
        <w:tc>
          <w:tcPr>
            <w:tcW w:type="dxa" w:w="2200"/>
            <w:vAlign w:val="center"/>
          </w:tcPr>
          <w:p>
            <w:pPr>
              <w:pStyle w:val="BodyText"/>
              <w:spacing w:after="0"/>
            </w:pPr>
            <w:r>
              <w:t>`PRIVACY_POLICY_DRAFT.md`</w:t>
            </w:r>
          </w:p>
        </w:tc>
        <w:tc>
          <w:tcPr>
            <w:tcW w:type="dxa" w:w="3580"/>
            <w:vAlign w:val="center"/>
          </w:tcPr>
          <w:p>
            <w:pPr>
              <w:pStyle w:val="BodyText"/>
              <w:spacing w:after="0"/>
            </w:pPr>
            <w:r>
              <w:t>Public privacy policy draft covering mic, camera, screen, local memory, passive logs, third-party AI, billing, support, and cloud dashboard data</w:t>
            </w:r>
          </w:p>
        </w:tc>
        <w:tc>
          <w:tcPr>
            <w:tcW w:type="dxa" w:w="3580"/>
            <w:vAlign w:val="center"/>
          </w:tcPr>
          <w:p>
            <w:pPr>
              <w:pStyle w:val="BodyText"/>
              <w:spacing w:after="0"/>
            </w:pPr>
            <w:r>
              <w:t>Ready for legal review</w:t>
            </w:r>
          </w:p>
        </w:tc>
      </w:tr>
      <w:tr>
        <w:tc>
          <w:tcPr>
            <w:tcW w:type="dxa" w:w="2200"/>
            <w:vAlign w:val="center"/>
          </w:tcPr>
          <w:p>
            <w:pPr>
              <w:pStyle w:val="BodyText"/>
              <w:spacing w:after="0"/>
            </w:pPr>
            <w:r>
              <w:t>`TERMS_OF_SERVICE_DRAFT.md`</w:t>
            </w:r>
          </w:p>
        </w:tc>
        <w:tc>
          <w:tcPr>
            <w:tcW w:type="dxa" w:w="3580"/>
            <w:vAlign w:val="center"/>
          </w:tcPr>
          <w:p>
            <w:pPr>
              <w:pStyle w:val="BodyText"/>
              <w:spacing w:after="0"/>
            </w:pPr>
            <w:r>
              <w:t>Subscription, cancellation, safe-use, prohibited-use, AI limitation, and customer responsibility terms</w:t>
            </w:r>
          </w:p>
        </w:tc>
        <w:tc>
          <w:tcPr>
            <w:tcW w:type="dxa" w:w="3580"/>
            <w:vAlign w:val="center"/>
          </w:tcPr>
          <w:p>
            <w:pPr>
              <w:pStyle w:val="BodyText"/>
              <w:spacing w:after="0"/>
            </w:pPr>
            <w:r>
              <w:t>Ready for legal review</w:t>
            </w:r>
          </w:p>
        </w:tc>
      </w:tr>
      <w:tr>
        <w:tc>
          <w:tcPr>
            <w:tcW w:type="dxa" w:w="2200"/>
            <w:vAlign w:val="center"/>
          </w:tcPr>
          <w:p>
            <w:pPr>
              <w:pStyle w:val="BodyText"/>
              <w:spacing w:after="0"/>
            </w:pPr>
            <w:r>
              <w:t>`EULA_DRAFT.md`</w:t>
            </w:r>
          </w:p>
        </w:tc>
        <w:tc>
          <w:tcPr>
            <w:tcW w:type="dxa" w:w="3580"/>
            <w:vAlign w:val="center"/>
          </w:tcPr>
          <w:p>
            <w:pPr>
              <w:pStyle w:val="BodyText"/>
              <w:spacing w:after="0"/>
            </w:pPr>
            <w:r>
              <w:t>Desktop software license, activation, restrictions, updates, and third-party component terms</w:t>
            </w:r>
          </w:p>
        </w:tc>
        <w:tc>
          <w:tcPr>
            <w:tcW w:type="dxa" w:w="3580"/>
            <w:vAlign w:val="center"/>
          </w:tcPr>
          <w:p>
            <w:pPr>
              <w:pStyle w:val="BodyText"/>
              <w:spacing w:after="0"/>
            </w:pPr>
            <w:r>
              <w:t>Ready for legal review</w:t>
            </w:r>
          </w:p>
        </w:tc>
      </w:tr>
      <w:tr>
        <w:tc>
          <w:tcPr>
            <w:tcW w:type="dxa" w:w="2200"/>
            <w:vAlign w:val="center"/>
          </w:tcPr>
          <w:p>
            <w:pPr>
              <w:pStyle w:val="BodyText"/>
              <w:spacing w:after="0"/>
            </w:pPr>
            <w:r>
              <w:t>`REFUND_AND_CANCELLATION_POLICY_DRAFT.md`</w:t>
            </w:r>
          </w:p>
        </w:tc>
        <w:tc>
          <w:tcPr>
            <w:tcW w:type="dxa" w:w="3580"/>
            <w:vAlign w:val="center"/>
          </w:tcPr>
          <w:p>
            <w:pPr>
              <w:pStyle w:val="BodyText"/>
              <w:spacing w:after="0"/>
            </w:pPr>
            <w:r>
              <w:t>Final-sale refund posture with billing-error/legal exceptions and self-service cancellation</w:t>
            </w:r>
          </w:p>
        </w:tc>
        <w:tc>
          <w:tcPr>
            <w:tcW w:type="dxa" w:w="3580"/>
            <w:vAlign w:val="center"/>
          </w:tcPr>
          <w:p>
            <w:pPr>
              <w:pStyle w:val="BodyText"/>
              <w:spacing w:after="0"/>
            </w:pPr>
            <w:r>
              <w:t>Ready for legal review</w:t>
            </w:r>
          </w:p>
        </w:tc>
      </w:tr>
      <w:tr>
        <w:tc>
          <w:tcPr>
            <w:tcW w:type="dxa" w:w="2200"/>
            <w:vAlign w:val="center"/>
          </w:tcPr>
          <w:p>
            <w:pPr>
              <w:pStyle w:val="BodyText"/>
              <w:spacing w:after="0"/>
            </w:pPr>
            <w:r>
              <w:t>`SECURITY_POLICY_DRAFT.md`</w:t>
            </w:r>
          </w:p>
        </w:tc>
        <w:tc>
          <w:tcPr>
            <w:tcW w:type="dxa" w:w="3580"/>
            <w:vAlign w:val="center"/>
          </w:tcPr>
          <w:p>
            <w:pPr>
              <w:pStyle w:val="BodyText"/>
              <w:spacing w:after="0"/>
            </w:pPr>
            <w:r>
              <w:t>Vulnerability intake, supported versions, testing rules, implemented controls, and incident response</w:t>
            </w:r>
          </w:p>
        </w:tc>
        <w:tc>
          <w:tcPr>
            <w:tcW w:type="dxa" w:w="3580"/>
            <w:vAlign w:val="center"/>
          </w:tcPr>
          <w:p>
            <w:pPr>
              <w:pStyle w:val="BodyText"/>
              <w:spacing w:after="0"/>
            </w:pPr>
            <w:r>
              <w:t>Ready for release review</w:t>
            </w:r>
          </w:p>
        </w:tc>
      </w:tr>
      <w:tr>
        <w:tc>
          <w:tcPr>
            <w:tcW w:type="dxa" w:w="2200"/>
            <w:vAlign w:val="center"/>
          </w:tcPr>
          <w:p>
            <w:pPr>
              <w:pStyle w:val="BodyText"/>
              <w:spacing w:after="0"/>
            </w:pPr>
            <w:r>
              <w:t>`AI_PROVIDER_DATA_FLOW_DRAFT.md`</w:t>
            </w:r>
          </w:p>
        </w:tc>
        <w:tc>
          <w:tcPr>
            <w:tcW w:type="dxa" w:w="3580"/>
            <w:vAlign w:val="center"/>
          </w:tcPr>
          <w:p>
            <w:pPr>
              <w:pStyle w:val="BodyText"/>
              <w:spacing w:after="0"/>
            </w:pPr>
            <w:r>
              <w:t>Provider data-flow matrix for OpenAI, Anthropic, Google Gemini, xAI/Grok, consent gates, forbidden data, hosted-AI cap, BYOK boundary, and source links</w:t>
            </w:r>
          </w:p>
        </w:tc>
        <w:tc>
          <w:tcPr>
            <w:tcW w:type="dxa" w:w="3580"/>
            <w:vAlign w:val="center"/>
          </w:tcPr>
          <w:p>
            <w:pPr>
              <w:pStyle w:val="BodyText"/>
              <w:spacing w:after="0"/>
            </w:pPr>
            <w:r>
              <w:t>Ready for legal review</w:t>
            </w:r>
          </w:p>
        </w:tc>
      </w:tr>
    </w:tbl>
    <w:p/>
    <w:p>
      <w:pPr>
        <w:pStyle w:val="Heading2"/>
      </w:pPr>
      <w:r>
        <w:t>Product Facts For Review</w:t>
      </w:r>
    </w:p>
    <w:p>
      <w:pPr>
        <w:pStyle w:val="ListBullet"/>
      </w:pPr>
      <w:r>
        <w:t>Product name: NyrA Swarm Little Buddy.</w:t>
      </w:r>
    </w:p>
    <w:p>
      <w:pPr>
        <w:pStyle w:val="ListBullet"/>
      </w:pPr>
      <w:r>
        <w:t>Paid offer name: NyrA Swarm Little Buddy Pro.</w:t>
      </w:r>
    </w:p>
    <w:p>
      <w:pPr>
        <w:pStyle w:val="ListBullet"/>
      </w:pPr>
      <w:r>
        <w:t>First paid target: paid beta.</w:t>
      </w:r>
    </w:p>
    <w:p>
      <w:pPr>
        <w:pStyle w:val="ListBullet"/>
      </w:pPr>
      <w:r>
        <w:t>Trial: no trial right now.</w:t>
      </w:r>
    </w:p>
    <w:p>
      <w:pPr>
        <w:pStyle w:val="ListBullet"/>
      </w:pPr>
      <w:r>
        <w:t>Refund posture: all purchases final, with legal and billing-error exceptions.</w:t>
      </w:r>
    </w:p>
    <w:p>
      <w:pPr>
        <w:pStyle w:val="ListBullet"/>
      </w:pPr>
      <w:r>
        <w:t>Support email: `nyrasupport@gmail.com` pending creation/confirmation.</w:t>
      </w:r>
    </w:p>
    <w:p>
      <w:pPr>
        <w:pStyle w:val="ListBullet"/>
      </w:pPr>
      <w:r>
        <w:t>Entity: not decided.</w:t>
      </w:r>
    </w:p>
    <w:p>
      <w:pPr>
        <w:pStyle w:val="ListBullet"/>
      </w:pPr>
      <w:r>
        <w:t>State: user indicated United States / South Carolina.</w:t>
      </w:r>
    </w:p>
    <w:p>
      <w:pPr>
        <w:pStyle w:val="ListBullet"/>
      </w:pPr>
      <w:r>
        <w:t>Payments: existing Stripe account intended.</w:t>
      </w:r>
    </w:p>
    <w:p>
      <w:pPr>
        <w:pStyle w:val="ListBullet"/>
      </w:pPr>
      <w:r>
        <w:t>Billing architecture: Stripe Checkout, Stripe Billing, Stripe Customer Portal, backend license service, desktop device activation.</w:t>
      </w:r>
    </w:p>
    <w:p>
      <w:pPr>
        <w:pStyle w:val="ListBullet"/>
      </w:pPr>
      <w:r>
        <w:t>Cloud target: Cloudflare Pages, Workers, D1, R2, and scheduled triggers.</w:t>
      </w:r>
    </w:p>
    <w:p>
      <w:pPr>
        <w:pStyle w:val="ListBullet"/>
      </w:pPr>
      <w:r>
        <w:t>AI model providers: OpenAI first, plus Anthropic, Google Gemini, and xAI/Grok routes if configured.</w:t>
      </w:r>
    </w:p>
    <w:p>
      <w:pPr>
        <w:pStyle w:val="Heading2"/>
      </w:pPr>
      <w:r>
        <w:t>Implemented Trust Controls</w:t>
      </w:r>
    </w:p>
    <w:p>
      <w:pPr>
        <w:pStyle w:val="ListBullet"/>
      </w:pPr>
      <w:r>
        <w:t>Paid feature gates return `NYRA_PRO_REQUIRED`.</w:t>
      </w:r>
    </w:p>
    <w:p>
      <w:pPr>
        <w:pStyle w:val="ListBullet"/>
      </w:pPr>
      <w:r>
        <w:t>Privacy/consent gates return `NYRA_CONSENT_REQUIRED`.</w:t>
      </w:r>
    </w:p>
    <w:p>
      <w:pPr>
        <w:pStyle w:val="ListBullet"/>
      </w:pPr>
      <w:r>
        <w:t>High-impact action gates return `NYRA_HIGH_IMPACT_APPROVAL_REQUIRED`.</w:t>
      </w:r>
    </w:p>
    <w:p>
      <w:pPr>
        <w:pStyle w:val="ListBullet"/>
      </w:pPr>
      <w:r>
        <w:t>Typed IPC hardening limits renderer access to known channels and store keys.</w:t>
      </w:r>
    </w:p>
    <w:p>
      <w:pPr>
        <w:pStyle w:val="ListBullet"/>
      </w:pPr>
      <w:r>
        <w:t>First-run consent and Settings Privacy &amp; Consent controls exist.</w:t>
      </w:r>
    </w:p>
    <w:p>
      <w:pPr>
        <w:pStyle w:val="ListBullet"/>
      </w:pPr>
      <w:r>
        <w:t>Local export/delete controls exist for privacy data and memory/log cleanup.</w:t>
      </w:r>
    </w:p>
    <w:p>
      <w:pPr>
        <w:pStyle w:val="ListBullet"/>
      </w:pPr>
      <w:r>
        <w:t>Clean release verification runs outside the synced Google Drive checkout.</w:t>
      </w:r>
    </w:p>
    <w:p>
      <w:pPr>
        <w:pStyle w:val="Heading2"/>
      </w:pPr>
      <w:r>
        <w:t>Open Decisions Needed From User</w:t>
      </w:r>
    </w:p>
    <w:tbl>
      <w:tblPr>
        <w:tblStyle w:val="TableGrid"/>
        <w:tblW w:type="auto" w:w="0"/>
        <w:jc w:val="center"/>
        <w:tblLook w:firstColumn="1" w:firstRow="1" w:lastColumn="0" w:lastRow="0" w:noHBand="0" w:noVBand="1" w:val="04A0"/>
      </w:tblPr>
      <w:tblGrid>
        <w:gridCol w:w="4680"/>
        <w:gridCol w:w="4680"/>
      </w:tblGrid>
      <w:tr>
        <w:tc>
          <w:tcPr>
            <w:tcW w:type="dxa" w:w="2200"/>
            <w:vAlign w:val="center"/>
            <w:shd w:fill="F2F4F7"/>
          </w:tcPr>
          <w:p>
            <w:pPr>
              <w:pStyle w:val="BodyText"/>
              <w:spacing w:after="0"/>
            </w:pPr>
            <w:r>
              <w:rPr>
                <w:b/>
              </w:rPr>
              <w:t>Decision</w:t>
            </w:r>
          </w:p>
        </w:tc>
        <w:tc>
          <w:tcPr>
            <w:tcW w:type="dxa" w:w="3580"/>
            <w:vAlign w:val="center"/>
            <w:shd w:fill="F2F4F7"/>
          </w:tcPr>
          <w:p>
            <w:pPr>
              <w:pStyle w:val="BodyText"/>
              <w:spacing w:after="0"/>
            </w:pPr>
            <w:r>
              <w:rPr>
                <w:b/>
              </w:rPr>
              <w:t>Why it matters</w:t>
            </w:r>
          </w:p>
        </w:tc>
      </w:tr>
      <w:tr>
        <w:tc>
          <w:tcPr>
            <w:tcW w:type="dxa" w:w="2200"/>
            <w:vAlign w:val="center"/>
          </w:tcPr>
          <w:p>
            <w:pPr>
              <w:pStyle w:val="BodyText"/>
              <w:spacing w:after="0"/>
            </w:pPr>
            <w:r>
              <w:t>Legal business name/entity path</w:t>
            </w:r>
          </w:p>
        </w:tc>
        <w:tc>
          <w:tcPr>
            <w:tcW w:type="dxa" w:w="3580"/>
            <w:vAlign w:val="center"/>
          </w:tcPr>
          <w:p>
            <w:pPr>
              <w:pStyle w:val="BodyText"/>
              <w:spacing w:after="0"/>
            </w:pPr>
            <w:r>
              <w:t>Required for Stripe identity, policy publisher, tax, support, and legal docs</w:t>
            </w:r>
          </w:p>
        </w:tc>
      </w:tr>
      <w:tr>
        <w:tc>
          <w:tcPr>
            <w:tcW w:type="dxa" w:w="2200"/>
            <w:vAlign w:val="center"/>
          </w:tcPr>
          <w:p>
            <w:pPr>
              <w:pStyle w:val="BodyText"/>
              <w:spacing w:after="0"/>
            </w:pPr>
            <w:r>
              <w:t>Public business address/contact policy</w:t>
            </w:r>
          </w:p>
        </w:tc>
        <w:tc>
          <w:tcPr>
            <w:tcW w:type="dxa" w:w="3580"/>
            <w:vAlign w:val="center"/>
          </w:tcPr>
          <w:p>
            <w:pPr>
              <w:pStyle w:val="BodyText"/>
              <w:spacing w:after="0"/>
            </w:pPr>
            <w:r>
              <w:t>Needed for legal docs and customer trust</w:t>
            </w:r>
          </w:p>
        </w:tc>
      </w:tr>
      <w:tr>
        <w:tc>
          <w:tcPr>
            <w:tcW w:type="dxa" w:w="2200"/>
            <w:vAlign w:val="center"/>
          </w:tcPr>
          <w:p>
            <w:pPr>
              <w:pStyle w:val="BodyText"/>
              <w:spacing w:after="0"/>
            </w:pPr>
            <w:r>
              <w:t>Monthly subscription price</w:t>
            </w:r>
          </w:p>
        </w:tc>
        <w:tc>
          <w:tcPr>
            <w:tcW w:type="dxa" w:w="3580"/>
            <w:vAlign w:val="center"/>
          </w:tcPr>
          <w:p>
            <w:pPr>
              <w:pStyle w:val="BodyText"/>
              <w:spacing w:after="0"/>
            </w:pPr>
            <w:r>
              <w:t>Required before Stripe product/price creation</w:t>
            </w:r>
          </w:p>
        </w:tc>
      </w:tr>
      <w:tr>
        <w:tc>
          <w:tcPr>
            <w:tcW w:type="dxa" w:w="2200"/>
            <w:vAlign w:val="center"/>
          </w:tcPr>
          <w:p>
            <w:pPr>
              <w:pStyle w:val="BodyText"/>
              <w:spacing w:after="0"/>
            </w:pPr>
            <w:r>
              <w:t>Hosted AI cap</w:t>
            </w:r>
          </w:p>
        </w:tc>
        <w:tc>
          <w:tcPr>
            <w:tcW w:type="dxa" w:w="3580"/>
            <w:vAlign w:val="center"/>
          </w:tcPr>
          <w:p>
            <w:pPr>
              <w:pStyle w:val="BodyText"/>
              <w:spacing w:after="0"/>
            </w:pPr>
            <w:r>
              <w:t>Required before pricing can be defended and policy can disclose usage limits</w:t>
            </w:r>
          </w:p>
        </w:tc>
      </w:tr>
      <w:tr>
        <w:tc>
          <w:tcPr>
            <w:tcW w:type="dxa" w:w="2200"/>
            <w:vAlign w:val="center"/>
          </w:tcPr>
          <w:p>
            <w:pPr>
              <w:pStyle w:val="BodyText"/>
              <w:spacing w:after="0"/>
            </w:pPr>
            <w:r>
              <w:t>Domain</w:t>
            </w:r>
          </w:p>
        </w:tc>
        <w:tc>
          <w:tcPr>
            <w:tcW w:type="dxa" w:w="3580"/>
            <w:vAlign w:val="center"/>
          </w:tcPr>
          <w:p>
            <w:pPr>
              <w:pStyle w:val="BodyText"/>
              <w:spacing w:after="0"/>
            </w:pPr>
            <w:r>
              <w:t>Required for public policy URLs, checkout success/cancel URLs, and email identity</w:t>
            </w:r>
          </w:p>
        </w:tc>
      </w:tr>
      <w:tr>
        <w:tc>
          <w:tcPr>
            <w:tcW w:type="dxa" w:w="2200"/>
            <w:vAlign w:val="center"/>
          </w:tcPr>
          <w:p>
            <w:pPr>
              <w:pStyle w:val="BodyText"/>
              <w:spacing w:after="0"/>
            </w:pPr>
            <w:r>
              <w:t>Support inbox confirmation</w:t>
            </w:r>
          </w:p>
        </w:tc>
        <w:tc>
          <w:tcPr>
            <w:tcW w:type="dxa" w:w="3580"/>
            <w:vAlign w:val="center"/>
          </w:tcPr>
          <w:p>
            <w:pPr>
              <w:pStyle w:val="BodyText"/>
              <w:spacing w:after="0"/>
            </w:pPr>
            <w:r>
              <w:t>Required before policy publication and paid beta</w:t>
            </w:r>
          </w:p>
        </w:tc>
      </w:tr>
      <w:tr>
        <w:tc>
          <w:tcPr>
            <w:tcW w:type="dxa" w:w="2200"/>
            <w:vAlign w:val="center"/>
          </w:tcPr>
          <w:p>
            <w:pPr>
              <w:pStyle w:val="BodyText"/>
              <w:spacing w:after="0"/>
            </w:pPr>
            <w:r>
              <w:t>Code signing path</w:t>
            </w:r>
          </w:p>
        </w:tc>
        <w:tc>
          <w:tcPr>
            <w:tcW w:type="dxa" w:w="3580"/>
            <w:vAlign w:val="center"/>
          </w:tcPr>
          <w:p>
            <w:pPr>
              <w:pStyle w:val="BodyText"/>
              <w:spacing w:after="0"/>
            </w:pPr>
            <w:r>
              <w:t>Required before a trusted Windows paid beta</w:t>
            </w:r>
          </w:p>
        </w:tc>
      </w:tr>
      <w:tr>
        <w:tc>
          <w:tcPr>
            <w:tcW w:type="dxa" w:w="2200"/>
            <w:vAlign w:val="center"/>
          </w:tcPr>
          <w:p>
            <w:pPr>
              <w:pStyle w:val="BodyText"/>
              <w:spacing w:after="0"/>
            </w:pPr>
            <w:r>
              <w:t>Tax handling</w:t>
            </w:r>
          </w:p>
        </w:tc>
        <w:tc>
          <w:tcPr>
            <w:tcW w:type="dxa" w:w="3580"/>
            <w:vAlign w:val="center"/>
          </w:tcPr>
          <w:p>
            <w:pPr>
              <w:pStyle w:val="BodyText"/>
              <w:spacing w:after="0"/>
            </w:pPr>
            <w:r>
              <w:t>Required before live payments at scale</w:t>
            </w:r>
          </w:p>
        </w:tc>
      </w:tr>
    </w:tbl>
    <w:p/>
    <w:p>
      <w:pPr>
        <w:pStyle w:val="Heading2"/>
      </w:pPr>
      <w:r>
        <w:t>Attorney Review Checklist</w:t>
      </w:r>
    </w:p>
    <w:p>
      <w:pPr>
        <w:pStyle w:val="ListBullet"/>
      </w:pPr>
      <w:r>
        <w:t>Confirm legal entity, publisher name, governing law, venue, liability cap, dispute resolution, arbitration/class waiver posture, and consumer-law exceptions.</w:t>
      </w:r>
    </w:p>
    <w:p>
      <w:pPr>
        <w:pStyle w:val="ListBullet"/>
      </w:pPr>
      <w:r>
        <w:t>Review final-sale refund language and cancellation process for subscriptions.</w:t>
      </w:r>
    </w:p>
    <w:p>
      <w:pPr>
        <w:pStyle w:val="ListBullet"/>
      </w:pPr>
      <w:r>
        <w:t>Review no-trial subscription disclosure language.</w:t>
      </w:r>
    </w:p>
    <w:p>
      <w:pPr>
        <w:pStyle w:val="ListBullet"/>
      </w:pPr>
      <w:r>
        <w:t>Confirm privacy disclosures for microphone, camera, screen, local memory, passive context logs, third-party AI, support uploads, and cloud dashboard uploads.</w:t>
      </w:r>
    </w:p>
    <w:p>
      <w:pPr>
        <w:pStyle w:val="ListBullet"/>
      </w:pPr>
      <w:r>
        <w:t>Confirm provider/subprocessor references and whether a separate data processing addendum is needed.</w:t>
      </w:r>
    </w:p>
    <w:p>
      <w:pPr>
        <w:pStyle w:val="ListBullet"/>
      </w:pPr>
      <w:r>
        <w:t>Confirm AI provider data-flow language for OpenAI, Anthropic, Google Gemini, xAI/Grok, hosted-AI cap disclosures, and BYOK future boundary.</w:t>
      </w:r>
    </w:p>
    <w:p>
      <w:pPr>
        <w:pStyle w:val="ListBullet"/>
      </w:pPr>
      <w:r>
        <w:t>Confirm under-13 policy and whether broader age restrictions are needed.</w:t>
      </w:r>
    </w:p>
    <w:p>
      <w:pPr>
        <w:pStyle w:val="ListBullet"/>
      </w:pPr>
      <w:r>
        <w:t>Confirm biometric/voice identity language. Current draft avoids biometric recognition claims.</w:t>
      </w:r>
    </w:p>
    <w:p>
      <w:pPr>
        <w:pStyle w:val="ListBullet"/>
      </w:pPr>
      <w:r>
        <w:t>Confirm breach notification and incident-response language for South Carolina and any other state where customers are sold.</w:t>
      </w:r>
    </w:p>
    <w:p>
      <w:pPr>
        <w:pStyle w:val="ListBullet"/>
      </w:pPr>
      <w:r>
        <w:t>Confirm support contact, business contact, and policy update notice procedure.</w:t>
      </w:r>
    </w:p>
    <w:p>
      <w:pPr>
        <w:pStyle w:val="Heading2"/>
      </w:pPr>
      <w:r>
        <w:t>Stripe Publication Checklist</w:t>
      </w:r>
    </w:p>
    <w:p>
      <w:pPr>
        <w:pStyle w:val="BodyText"/>
      </w:pPr>
      <w:r>
        <w:t>Before live checkout:</w:t>
      </w:r>
    </w:p>
    <w:p>
      <w:pPr>
        <w:pStyle w:val="ListBullet"/>
      </w:pPr>
      <w:r>
        <w:t>Public Privacy Policy URL exists.</w:t>
      </w:r>
    </w:p>
    <w:p>
      <w:pPr>
        <w:pStyle w:val="ListBullet"/>
      </w:pPr>
      <w:r>
        <w:t>Public Terms URL exists.</w:t>
      </w:r>
    </w:p>
    <w:p>
      <w:pPr>
        <w:pStyle w:val="ListBullet"/>
      </w:pPr>
      <w:r>
        <w:t>Refund/Cancellation Policy URL exists.</w:t>
      </w:r>
    </w:p>
    <w:p>
      <w:pPr>
        <w:pStyle w:val="ListBullet"/>
      </w:pPr>
      <w:r>
        <w:t>Support email exists and appears on receipts.</w:t>
      </w:r>
    </w:p>
    <w:p>
      <w:pPr>
        <w:pStyle w:val="ListBullet"/>
      </w:pPr>
      <w:r>
        <w:t>Checkout discloses price, billing interval, no trial, renewal terms, included usage, cancellation path, and final-sale refund posture.</w:t>
      </w:r>
    </w:p>
    <w:p>
      <w:pPr>
        <w:pStyle w:val="ListBullet"/>
      </w:pPr>
      <w:r>
        <w:t>Customer Portal allows invoice access, payment method updates, and cancellation.</w:t>
      </w:r>
    </w:p>
    <w:p>
      <w:pPr>
        <w:pStyle w:val="ListBullet"/>
      </w:pPr>
      <w:r>
        <w:t>Webhook endpoint is live and signed.</w:t>
      </w:r>
    </w:p>
    <w:p>
      <w:pPr>
        <w:pStyle w:val="ListBullet"/>
      </w:pPr>
      <w:r>
        <w:t>Test-mode checkout, activation, cancellation, failed invoice, and refund review flows are tested.</w:t>
      </w:r>
    </w:p>
    <w:p>
      <w:pPr>
        <w:pStyle w:val="Heading2"/>
      </w:pPr>
      <w:r>
        <w:t>Source Register</w:t>
      </w:r>
    </w:p>
    <w:p>
      <w:pPr>
        <w:pStyle w:val="ListBullet"/>
      </w:pPr>
      <w:r>
        <w:t>FTC Privacy and Security: https://www.ftc.gov/business-guidance/privacy-security</w:t>
      </w:r>
    </w:p>
    <w:p>
      <w:pPr>
        <w:pStyle w:val="ListBullet"/>
      </w:pPr>
      <w:r>
        <w:t>FTC Protecting Personal Information: https://www.ftc.gov/business-guidance/resources/protecting-personal-information-guide-business</w:t>
      </w:r>
    </w:p>
    <w:p>
      <w:pPr>
        <w:pStyle w:val="ListBullet"/>
      </w:pPr>
      <w:r>
        <w:t>FTC subscription cancellation guidance: https://www.ftc.gov/business-guidance/blog/2024/10/click-cancel-ftcs-amended-negative-option-rule-what-it-means-your-business</w:t>
      </w:r>
    </w:p>
    <w:p>
      <w:pPr>
        <w:pStyle w:val="ListBullet"/>
      </w:pPr>
      <w:r>
        <w:t>FTC Biometric Policy Statement: https://www.ftc.gov/legal-library/browse/policy-statement-federal-trade-commission-biometric-information-section-5-federal-trade-commission</w:t>
      </w:r>
    </w:p>
    <w:p>
      <w:pPr>
        <w:pStyle w:val="ListBullet"/>
      </w:pPr>
      <w:r>
        <w:t>OpenAI Data Controls: https://platform.openai.com/docs/guides/your-data</w:t>
      </w:r>
    </w:p>
    <w:p>
      <w:pPr>
        <w:pStyle w:val="ListBullet"/>
      </w:pPr>
      <w:r>
        <w:t>Anthropic Organization Data Retention: https://privacy.claude.com/en/articles/7996866-how-long-do-you-store-my-organization-s-data</w:t>
      </w:r>
    </w:p>
    <w:p>
      <w:pPr>
        <w:pStyle w:val="ListBullet"/>
      </w:pPr>
      <w:r>
        <w:t>Anthropic Processor/Controller FAQ: https://support.claude.com/en/articles/9267385-does-anthropic-act-as-a-data-processor-or-controller</w:t>
      </w:r>
    </w:p>
    <w:p>
      <w:pPr>
        <w:pStyle w:val="ListBullet"/>
      </w:pPr>
      <w:r>
        <w:t>Google Gemini API Data Logging and Sharing: https://ai.google.dev/gemini-api/docs/logs-policy</w:t>
      </w:r>
    </w:p>
    <w:p>
      <w:pPr>
        <w:pStyle w:val="ListBullet"/>
      </w:pPr>
      <w:r>
        <w:t>xAI API Security FAQ: https://docs.x.ai/developers/faq/security</w:t>
      </w:r>
    </w:p>
    <w:p>
      <w:pPr>
        <w:pStyle w:val="ListBullet"/>
      </w:pPr>
      <w:r>
        <w:t>Stripe Checkout: https://docs.stripe.com/payments/checkout</w:t>
      </w:r>
    </w:p>
    <w:p>
      <w:pPr>
        <w:pStyle w:val="ListBullet"/>
      </w:pPr>
      <w:r>
        <w:t>Stripe Customer Portal: https://docs.stripe.com/customer-management</w:t>
      </w:r>
    </w:p>
    <w:p>
      <w:pPr>
        <w:pStyle w:val="ListBullet"/>
      </w:pPr>
      <w:r>
        <w:t>Stripe refunds support: https://support.stripe.com/questions/how-to-refund-a-customer</w:t>
      </w:r>
    </w:p>
    <w:p>
      <w:pPr>
        <w:pStyle w:val="ListBullet"/>
      </w:pPr>
      <w:r>
        <w:t>South Carolina Code Section 39-1-90: https://law.justia.com/codes/south-carolina/title-39/chapter-1/section-39-1-90/</w:t>
      </w:r>
    </w:p>
    <w:p>
      <w:pPr>
        <w:pStyle w:val="Heading2"/>
      </w:pPr>
      <w:r>
        <w:t>Publication Blocker</w:t>
      </w:r>
    </w:p>
    <w:p>
      <w:pPr>
        <w:pStyle w:val="BodyText"/>
      </w:pPr>
      <w:r>
        <w:t>Do not publish these policies or take live payments until the support inbox, legal entity/contact, domain, public policy URLs, pricing, hosted AI cap, and attorney review are complete.</w:t>
      </w:r>
    </w:p>
    <w:p>
      <w:r>
        <w:br w:type="page"/>
      </w:r>
    </w:p>
    <w:p>
      <w:pPr>
        <w:pStyle w:val="Heading1"/>
      </w:pPr>
      <w:r>
        <w:t>Appendix 2: NyrA Swarm Little Buddy Privacy Policy Draft</w:t>
      </w:r>
    </w:p>
    <w:p>
      <w:pPr>
        <w:pStyle w:val="BodyText"/>
      </w:pPr>
      <w:r>
        <w:t>Status: Draft for attorney review</w:t>
      </w:r>
    </w:p>
    <w:p>
      <w:pPr>
        <w:pStyle w:val="BodyText"/>
      </w:pPr>
      <w:r>
        <w:t>Last updated: 2026-05-31</w:t>
      </w:r>
    </w:p>
    <w:p>
      <w:pPr>
        <w:pStyle w:val="BodyText"/>
      </w:pPr>
      <w:r>
        <w:t>Scope: NyrA Swarm Little Buddy desktop app only</w:t>
      </w:r>
    </w:p>
    <w:p>
      <w:pPr>
        <w:pStyle w:val="BodyText"/>
      </w:pPr>
      <w:r>
        <w:t>This draft is not legal advice. It is a working publication draft that should be reviewed after the business name, legal entity, domain, support inbox, pricing, hosted AI cap, and final provider stack are confirmed.</w:t>
      </w:r>
    </w:p>
    <w:p>
      <w:pPr>
        <w:pStyle w:val="Heading2"/>
      </w:pPr>
      <w:r>
        <w:t>Plain-English Summary</w:t>
      </w:r>
    </w:p>
    <w:p>
      <w:pPr>
        <w:pStyle w:val="BodyText"/>
      </w:pPr>
      <w:r>
        <w:t>NyrA is a Windows desktop companion that can use your microphone, camera, screen, local memory, third-party AI providers, and visible computer-control actions only after you grant the relevant permissions in the app.</w:t>
      </w:r>
    </w:p>
    <w:p>
      <w:pPr>
        <w:pStyle w:val="BodyText"/>
      </w:pPr>
      <w:r>
        <w:t>NyrA should not be marketed as local-only, always-listening to everything, unrestricted computer control, voice identity recognition, or biometric learning. The app is designed around explicit consent, visible controls, local export/delete controls, paid-license checks, and high-impact action approval gates.</w:t>
      </w:r>
    </w:p>
    <w:p>
      <w:pPr>
        <w:pStyle w:val="Heading2"/>
      </w:pPr>
      <w:r>
        <w:t>Data We Collect Or Process</w:t>
      </w:r>
    </w:p>
    <w:p>
      <w:pPr>
        <w:pStyle w:val="BodyText"/>
      </w:pPr>
      <w:r>
        <w:t>NyrA may collect or process these categories, depending on your settings and use:</w:t>
      </w:r>
    </w:p>
    <w:p>
      <w:pPr>
        <w:pStyle w:val="ListBullet"/>
      </w:pPr>
      <w:r>
        <w:t>Account and billing data: checkout email, Stripe customer ID, subscription status, invoices, cancellation state, and device activation status.</w:t>
      </w:r>
    </w:p>
    <w:p>
      <w:pPr>
        <w:pStyle w:val="ListBullet"/>
      </w:pPr>
      <w:r>
        <w:t>Device and license data: app version, device activation ID, entitlement status, offline grace status, and license refresh timestamps.</w:t>
      </w:r>
    </w:p>
    <w:p>
      <w:pPr>
        <w:pStyle w:val="ListBullet"/>
      </w:pPr>
      <w:r>
        <w:t>Voice data: microphone audio for transcription or live voice features when microphone consent is enabled.</w:t>
      </w:r>
    </w:p>
    <w:p>
      <w:pPr>
        <w:pStyle w:val="ListBullet"/>
      </w:pPr>
      <w:r>
        <w:t>Screen and camera data: screenshots or camera frames when you ask NyrA to look and the relevant consent is enabled.</w:t>
      </w:r>
    </w:p>
    <w:p>
      <w:pPr>
        <w:pStyle w:val="ListBullet"/>
      </w:pPr>
      <w:r>
        <w:t>Chat and command content: prompts, responses, task context, and instruction history.</w:t>
      </w:r>
    </w:p>
    <w:p>
      <w:pPr>
        <w:pStyle w:val="ListBullet"/>
      </w:pPr>
      <w:r>
        <w:t>Local memory and passive context logs: saved preferences, context notes, and recent work context when memory or passive log consent is enabled.</w:t>
      </w:r>
    </w:p>
    <w:p>
      <w:pPr>
        <w:pStyle w:val="ListBullet"/>
      </w:pPr>
      <w:r>
        <w:t>Computer-control action data: requested action, action type, target app/path/URL/coordinate, result, timestamp, approval status, and error output.</w:t>
      </w:r>
    </w:p>
    <w:p>
      <w:pPr>
        <w:pStyle w:val="ListBullet"/>
      </w:pPr>
      <w:r>
        <w:t>Support data: emails, diagnostics, screenshots, logs, and files you choose to send to support.</w:t>
      </w:r>
    </w:p>
    <w:p>
      <w:pPr>
        <w:pStyle w:val="ListBullet"/>
      </w:pPr>
      <w:r>
        <w:t>Website/dashboard data: form entries and uploads added through the launch command center or future cloud dashboard.</w:t>
      </w:r>
    </w:p>
    <w:p>
      <w:pPr>
        <w:pStyle w:val="Heading2"/>
      </w:pPr>
      <w:r>
        <w:t>How We Use Data</w:t>
      </w:r>
    </w:p>
    <w:p>
      <w:pPr>
        <w:pStyle w:val="BodyText"/>
      </w:pPr>
      <w:r>
        <w:t>NyrA uses data to:</w:t>
      </w:r>
    </w:p>
    <w:p>
      <w:pPr>
        <w:pStyle w:val="ListBullet"/>
      </w:pPr>
      <w:r>
        <w:t>Provide voice, chat, screen-look, camera-look, automation, memory, and support features.</w:t>
      </w:r>
    </w:p>
    <w:p>
      <w:pPr>
        <w:pStyle w:val="ListBullet"/>
      </w:pPr>
      <w:r>
        <w:t>Verify paid subscription status and activate the desktop app.</w:t>
      </w:r>
    </w:p>
    <w:p>
      <w:pPr>
        <w:pStyle w:val="ListBullet"/>
      </w:pPr>
      <w:r>
        <w:t>Route prompts and media to configured AI providers when third-party AI consent is enabled.</w:t>
      </w:r>
    </w:p>
    <w:p>
      <w:pPr>
        <w:pStyle w:val="ListBullet"/>
      </w:pPr>
      <w:r>
        <w:t>Keep local memory and logs only when those options are enabled.</w:t>
      </w:r>
    </w:p>
    <w:p>
      <w:pPr>
        <w:pStyle w:val="ListBullet"/>
      </w:pPr>
      <w:r>
        <w:t>Diagnose bugs, billing errors, entitlement failures, installation issues, and safety incidents.</w:t>
      </w:r>
    </w:p>
    <w:p>
      <w:pPr>
        <w:pStyle w:val="ListBullet"/>
      </w:pPr>
      <w:r>
        <w:t>Enforce license, consent, and high-impact action gates.</w:t>
      </w:r>
    </w:p>
    <w:p>
      <w:pPr>
        <w:pStyle w:val="ListBullet"/>
      </w:pPr>
      <w:r>
        <w:t>Improve product reliability, support workflows, and release readiness.</w:t>
      </w:r>
    </w:p>
    <w:p>
      <w:pPr>
        <w:pStyle w:val="Heading2"/>
      </w:pPr>
      <w:r>
        <w:t>Local Storage</w:t>
      </w:r>
    </w:p>
    <w:p>
      <w:pPr>
        <w:pStyle w:val="BodyText"/>
      </w:pPr>
      <w:r>
        <w:t>NyrA stores app settings, license cache, consent settings, local memory, and logs on the user's device. Local memory and passive context logs should be optional, reversible, exportable, and deletable from the app.</w:t>
      </w:r>
    </w:p>
    <w:p>
      <w:pPr>
        <w:pStyle w:val="BodyText"/>
      </w:pPr>
      <w:r>
        <w:t>The current implementation includes:</w:t>
      </w:r>
    </w:p>
    <w:p>
      <w:pPr>
        <w:pStyle w:val="ListBullet"/>
      </w:pPr>
      <w:r>
        <w:t>First-run consent controls.</w:t>
      </w:r>
    </w:p>
    <w:p>
      <w:pPr>
        <w:pStyle w:val="ListBullet"/>
      </w:pPr>
      <w:r>
        <w:t>Settings Privacy &amp; Consent toggles.</w:t>
      </w:r>
    </w:p>
    <w:p>
      <w:pPr>
        <w:pStyle w:val="ListBullet"/>
      </w:pPr>
      <w:r>
        <w:t>Local privacy export.</w:t>
      </w:r>
    </w:p>
    <w:p>
      <w:pPr>
        <w:pStyle w:val="ListBullet"/>
      </w:pPr>
      <w:r>
        <w:t>Memory/log deletion.</w:t>
      </w:r>
    </w:p>
    <w:p>
      <w:pPr>
        <w:pStyle w:val="ListBullet"/>
      </w:pPr>
      <w:r>
        <w:t>Main-process `NYRA_CONSENT_REQUIRED` enforcement for microphone, camera, screen, third-party AI, local memory, passive context log, and computer-control features.</w:t>
      </w:r>
    </w:p>
    <w:p>
      <w:pPr>
        <w:pStyle w:val="Heading2"/>
      </w:pPr>
      <w:r>
        <w:t>Third-Party Providers</w:t>
      </w:r>
    </w:p>
    <w:p>
      <w:pPr>
        <w:pStyle w:val="BodyText"/>
      </w:pPr>
      <w:r>
        <w:t>NyrA may send user prompts, voice transcriptions, screen/camera frames, and task context to third-party AI providers only when the relevant feature and third-party AI consent are enabled.</w:t>
      </w:r>
    </w:p>
    <w:p>
      <w:pPr>
        <w:pStyle w:val="BodyText"/>
      </w:pPr>
      <w:r>
        <w:t>Current or planned providers include:</w:t>
      </w:r>
    </w:p>
    <w:p>
      <w:pPr>
        <w:pStyle w:val="ListBullet"/>
      </w:pPr>
      <w:r>
        <w:t>OpenAI for chat, transcription, text-to-speech, realtime voice, and vision routes.</w:t>
      </w:r>
    </w:p>
    <w:p>
      <w:pPr>
        <w:pStyle w:val="ListBullet"/>
      </w:pPr>
      <w:r>
        <w:t>Anthropic, Google Gemini, and xAI/Grok for selected swarm routes if configured.</w:t>
      </w:r>
    </w:p>
    <w:p>
      <w:pPr>
        <w:pStyle w:val="ListBullet"/>
      </w:pPr>
      <w:r>
        <w:t>Stripe for checkout, subscription billing, invoices, customer portal, refunds, and entitlement-related customer IDs.</w:t>
      </w:r>
    </w:p>
    <w:p>
      <w:pPr>
        <w:pStyle w:val="ListBullet"/>
      </w:pPr>
      <w:r>
        <w:t>Cloudflare for the planned command-center API, D1 database, R2 uploads, and scheduled intake triggers.</w:t>
      </w:r>
    </w:p>
    <w:p>
      <w:pPr>
        <w:pStyle w:val="ListBullet"/>
      </w:pPr>
      <w:r>
        <w:t>Email provider for support inbox operations.</w:t>
      </w:r>
    </w:p>
    <w:p>
      <w:pPr>
        <w:pStyle w:val="BodyText"/>
      </w:pPr>
      <w:r>
        <w:t>Provider data use and retention are governed by the provider's terms and data policies. NyrA should disclose provider links on the public website before paid beta.</w:t>
      </w:r>
    </w:p>
    <w:p>
      <w:pPr>
        <w:pStyle w:val="BodyText"/>
      </w:pPr>
      <w:r>
        <w:t>The working provider-data map is maintained in `AI_PROVIDER_DATA_FLOW_DRAFT.md`. That file should be refreshed before publication because provider policies change, and the public policy must match the actual provider stack shipped in the app.</w:t>
      </w:r>
    </w:p>
    <w:p>
      <w:pPr>
        <w:pStyle w:val="Heading2"/>
      </w:pPr>
      <w:r>
        <w:t>OpenAI Data Controls</w:t>
      </w:r>
    </w:p>
    <w:p>
      <w:pPr>
        <w:pStyle w:val="BodyText"/>
      </w:pPr>
      <w:r>
        <w:t>The app should default OpenAI Responses API calls to `store:false` unless the user or business explicitly enables storage for a documented reason. OpenAI's current API data controls state that API endpoint data is not used for training by default, and that abuse monitoring and endpoint retention vary by endpoint.</w:t>
      </w:r>
    </w:p>
    <w:p>
      <w:pPr>
        <w:pStyle w:val="Heading2"/>
      </w:pPr>
      <w:r>
        <w:t>Billing And Payments</w:t>
      </w:r>
    </w:p>
    <w:p>
      <w:pPr>
        <w:pStyle w:val="BodyText"/>
      </w:pPr>
      <w:r>
        <w:t>Payments are processed through Stripe. NyrA should not store full credit card numbers, bank account numbers, card security codes, or raw Stripe secret keys in the desktop app or command-center files.</w:t>
      </w:r>
    </w:p>
    <w:p>
      <w:pPr>
        <w:pStyle w:val="BodyText"/>
      </w:pPr>
      <w:r>
        <w:t>Customers should be able to manage billing, invoices, payment methods, and cancellation through Stripe Customer Portal once the live Stripe integration is deployed.</w:t>
      </w:r>
    </w:p>
    <w:p>
      <w:pPr>
        <w:pStyle w:val="Heading2"/>
      </w:pPr>
      <w:r>
        <w:t>Choices And Controls</w:t>
      </w:r>
    </w:p>
    <w:p>
      <w:pPr>
        <w:pStyle w:val="BodyText"/>
      </w:pPr>
      <w:r>
        <w:t>Users should be able to:</w:t>
      </w:r>
    </w:p>
    <w:p>
      <w:pPr>
        <w:pStyle w:val="ListBullet"/>
      </w:pPr>
      <w:r>
        <w:t>Turn microphone/live listening on or off.</w:t>
      </w:r>
    </w:p>
    <w:p>
      <w:pPr>
        <w:pStyle w:val="ListBullet"/>
      </w:pPr>
      <w:r>
        <w:t>Turn camera look on or off.</w:t>
      </w:r>
    </w:p>
    <w:p>
      <w:pPr>
        <w:pStyle w:val="ListBullet"/>
      </w:pPr>
      <w:r>
        <w:t>Turn screen look on or off.</w:t>
      </w:r>
    </w:p>
    <w:p>
      <w:pPr>
        <w:pStyle w:val="ListBullet"/>
      </w:pPr>
      <w:r>
        <w:t>Turn third-party AI processing on or off.</w:t>
      </w:r>
    </w:p>
    <w:p>
      <w:pPr>
        <w:pStyle w:val="ListBullet"/>
      </w:pPr>
      <w:r>
        <w:t>Turn local memory on or off.</w:t>
      </w:r>
    </w:p>
    <w:p>
      <w:pPr>
        <w:pStyle w:val="ListBullet"/>
      </w:pPr>
      <w:r>
        <w:t>Turn passive context log mode on or off.</w:t>
      </w:r>
    </w:p>
    <w:p>
      <w:pPr>
        <w:pStyle w:val="ListBullet"/>
      </w:pPr>
      <w:r>
        <w:t>Turn computer-control permission on or off.</w:t>
      </w:r>
    </w:p>
    <w:p>
      <w:pPr>
        <w:pStyle w:val="ListBullet"/>
      </w:pPr>
      <w:r>
        <w:t>Export local privacy data.</w:t>
      </w:r>
    </w:p>
    <w:p>
      <w:pPr>
        <w:pStyle w:val="ListBullet"/>
      </w:pPr>
      <w:r>
        <w:t>Delete local memory and logs.</w:t>
      </w:r>
    </w:p>
    <w:p>
      <w:pPr>
        <w:pStyle w:val="ListBullet"/>
      </w:pPr>
      <w:r>
        <w:t>Cancel future subscription renewals through the billing portal.</w:t>
      </w:r>
    </w:p>
    <w:p>
      <w:pPr>
        <w:pStyle w:val="ListBullet"/>
      </w:pPr>
      <w:r>
        <w:t>Contact support for billing, license, privacy, or deletion questions.</w:t>
      </w:r>
    </w:p>
    <w:p>
      <w:pPr>
        <w:pStyle w:val="Heading2"/>
      </w:pPr>
      <w:r>
        <w:t>Retention Draft</w:t>
      </w:r>
    </w:p>
    <w:p>
      <w:pPr>
        <w:pStyle w:val="BodyText"/>
      </w:pPr>
      <w:r>
        <w:t>This retention schedule must be reviewed before publication:</w:t>
      </w:r>
    </w:p>
    <w:tbl>
      <w:tblPr>
        <w:tblStyle w:val="TableGrid"/>
        <w:tblW w:type="auto" w:w="0"/>
        <w:jc w:val="center"/>
        <w:tblLook w:firstColumn="1" w:firstRow="1" w:lastColumn="0" w:lastRow="0" w:noHBand="0" w:noVBand="1" w:val="04A0"/>
      </w:tblPr>
      <w:tblGrid>
        <w:gridCol w:w="4680"/>
        <w:gridCol w:w="4680"/>
      </w:tblGrid>
      <w:tr>
        <w:tc>
          <w:tcPr>
            <w:tcW w:type="dxa" w:w="2200"/>
            <w:vAlign w:val="center"/>
            <w:shd w:fill="F2F4F7"/>
          </w:tcPr>
          <w:p>
            <w:pPr>
              <w:pStyle w:val="BodyText"/>
              <w:spacing w:after="0"/>
            </w:pPr>
            <w:r>
              <w:rPr>
                <w:b/>
              </w:rPr>
              <w:t>Data type</w:t>
            </w:r>
          </w:p>
        </w:tc>
        <w:tc>
          <w:tcPr>
            <w:tcW w:type="dxa" w:w="3580"/>
            <w:vAlign w:val="center"/>
            <w:shd w:fill="F2F4F7"/>
          </w:tcPr>
          <w:p>
            <w:pPr>
              <w:pStyle w:val="BodyText"/>
              <w:spacing w:after="0"/>
            </w:pPr>
            <w:r>
              <w:rPr>
                <w:b/>
              </w:rPr>
              <w:t>Draft retention</w:t>
            </w:r>
          </w:p>
        </w:tc>
      </w:tr>
      <w:tr>
        <w:tc>
          <w:tcPr>
            <w:tcW w:type="dxa" w:w="2200"/>
            <w:vAlign w:val="center"/>
          </w:tcPr>
          <w:p>
            <w:pPr>
              <w:pStyle w:val="BodyText"/>
              <w:spacing w:after="0"/>
            </w:pPr>
            <w:r>
              <w:t>Local settings and consent</w:t>
            </w:r>
          </w:p>
        </w:tc>
        <w:tc>
          <w:tcPr>
            <w:tcW w:type="dxa" w:w="3580"/>
            <w:vAlign w:val="center"/>
          </w:tcPr>
          <w:p>
            <w:pPr>
              <w:pStyle w:val="BodyText"/>
              <w:spacing w:after="0"/>
            </w:pPr>
            <w:r>
              <w:t>Until changed, reset, or uninstalled</w:t>
            </w:r>
          </w:p>
        </w:tc>
      </w:tr>
      <w:tr>
        <w:tc>
          <w:tcPr>
            <w:tcW w:type="dxa" w:w="2200"/>
            <w:vAlign w:val="center"/>
          </w:tcPr>
          <w:p>
            <w:pPr>
              <w:pStyle w:val="BodyText"/>
              <w:spacing w:after="0"/>
            </w:pPr>
            <w:r>
              <w:t>Local memory and passive logs</w:t>
            </w:r>
          </w:p>
        </w:tc>
        <w:tc>
          <w:tcPr>
            <w:tcW w:type="dxa" w:w="3580"/>
            <w:vAlign w:val="center"/>
          </w:tcPr>
          <w:p>
            <w:pPr>
              <w:pStyle w:val="BodyText"/>
              <w:spacing w:after="0"/>
            </w:pPr>
            <w:r>
              <w:t>Until deleted by the user or reset by the app</w:t>
            </w:r>
          </w:p>
        </w:tc>
      </w:tr>
      <w:tr>
        <w:tc>
          <w:tcPr>
            <w:tcW w:type="dxa" w:w="2200"/>
            <w:vAlign w:val="center"/>
          </w:tcPr>
          <w:p>
            <w:pPr>
              <w:pStyle w:val="BodyText"/>
              <w:spacing w:after="0"/>
            </w:pPr>
            <w:r>
              <w:t>Local license cache</w:t>
            </w:r>
          </w:p>
        </w:tc>
        <w:tc>
          <w:tcPr>
            <w:tcW w:type="dxa" w:w="3580"/>
            <w:vAlign w:val="center"/>
          </w:tcPr>
          <w:p>
            <w:pPr>
              <w:pStyle w:val="BodyText"/>
              <w:spacing w:after="0"/>
            </w:pPr>
            <w:r>
              <w:t>Until logout, uninstall, reset, expiration, or replacement</w:t>
            </w:r>
          </w:p>
        </w:tc>
      </w:tr>
      <w:tr>
        <w:tc>
          <w:tcPr>
            <w:tcW w:type="dxa" w:w="2200"/>
            <w:vAlign w:val="center"/>
          </w:tcPr>
          <w:p>
            <w:pPr>
              <w:pStyle w:val="BodyText"/>
              <w:spacing w:after="0"/>
            </w:pPr>
            <w:r>
              <w:t>Billing/customer records</w:t>
            </w:r>
          </w:p>
        </w:tc>
        <w:tc>
          <w:tcPr>
            <w:tcW w:type="dxa" w:w="3580"/>
            <w:vAlign w:val="center"/>
          </w:tcPr>
          <w:p>
            <w:pPr>
              <w:pStyle w:val="BodyText"/>
              <w:spacing w:after="0"/>
            </w:pPr>
            <w:r>
              <w:t>As required for subscription, tax, accounting, dispute, and legal obligations</w:t>
            </w:r>
          </w:p>
        </w:tc>
      </w:tr>
      <w:tr>
        <w:tc>
          <w:tcPr>
            <w:tcW w:type="dxa" w:w="2200"/>
            <w:vAlign w:val="center"/>
          </w:tcPr>
          <w:p>
            <w:pPr>
              <w:pStyle w:val="BodyText"/>
              <w:spacing w:after="0"/>
            </w:pPr>
            <w:r>
              <w:t>Support emails/files</w:t>
            </w:r>
          </w:p>
        </w:tc>
        <w:tc>
          <w:tcPr>
            <w:tcW w:type="dxa" w:w="3580"/>
            <w:vAlign w:val="center"/>
          </w:tcPr>
          <w:p>
            <w:pPr>
              <w:pStyle w:val="BodyText"/>
              <w:spacing w:after="0"/>
            </w:pPr>
            <w:r>
              <w:t>As long as needed to resolve support and maintain business records</w:t>
            </w:r>
          </w:p>
        </w:tc>
      </w:tr>
      <w:tr>
        <w:tc>
          <w:tcPr>
            <w:tcW w:type="dxa" w:w="2200"/>
            <w:vAlign w:val="center"/>
          </w:tcPr>
          <w:p>
            <w:pPr>
              <w:pStyle w:val="BodyText"/>
              <w:spacing w:after="0"/>
            </w:pPr>
            <w:r>
              <w:t>Cloud command-center uploads</w:t>
            </w:r>
          </w:p>
        </w:tc>
        <w:tc>
          <w:tcPr>
            <w:tcW w:type="dxa" w:w="3580"/>
            <w:vAlign w:val="center"/>
          </w:tcPr>
          <w:p>
            <w:pPr>
              <w:pStyle w:val="BodyText"/>
              <w:spacing w:after="0"/>
            </w:pPr>
            <w:r>
              <w:t>Until deleted by the owner or no longer needed for launch operations</w:t>
            </w:r>
          </w:p>
        </w:tc>
      </w:tr>
      <w:tr>
        <w:tc>
          <w:tcPr>
            <w:tcW w:type="dxa" w:w="2200"/>
            <w:vAlign w:val="center"/>
          </w:tcPr>
          <w:p>
            <w:pPr>
              <w:pStyle w:val="BodyText"/>
              <w:spacing w:after="0"/>
            </w:pPr>
            <w:r>
              <w:t>AI provider content</w:t>
            </w:r>
          </w:p>
        </w:tc>
        <w:tc>
          <w:tcPr>
            <w:tcW w:type="dxa" w:w="3580"/>
            <w:vAlign w:val="center"/>
          </w:tcPr>
          <w:p>
            <w:pPr>
              <w:pStyle w:val="BodyText"/>
              <w:spacing w:after="0"/>
            </w:pPr>
            <w:r>
              <w:t>According to the relevant provider terms and retention controls</w:t>
            </w:r>
          </w:p>
        </w:tc>
      </w:tr>
    </w:tbl>
    <w:p/>
    <w:p>
      <w:pPr>
        <w:pStyle w:val="Heading2"/>
      </w:pPr>
      <w:r>
        <w:t>Children</w:t>
      </w:r>
    </w:p>
    <w:p>
      <w:pPr>
        <w:pStyle w:val="BodyText"/>
      </w:pPr>
      <w:r>
        <w:t>NyrA is not intended for children under 13. The product should not knowingly collect personal information from children. If the app is later marketed to minors, the children's privacy policy and consent process must be redesigned before launch.</w:t>
      </w:r>
    </w:p>
    <w:p>
      <w:pPr>
        <w:pStyle w:val="Heading2"/>
      </w:pPr>
      <w:r>
        <w:t>Biometric And Voice Identity Position</w:t>
      </w:r>
    </w:p>
    <w:p>
      <w:pPr>
        <w:pStyle w:val="BodyText"/>
      </w:pPr>
      <w:r>
        <w:t>NyrA should not claim biometric voice recognition, voice identity authentication, or voiceprint learning unless a separate explicit enrollment, consent, accuracy, retention, and deletion process is implemented and legally reviewed. Current voice features should be described as voice input, transcription, realtime conversation, and context handling, not identity recognition.</w:t>
      </w:r>
    </w:p>
    <w:p>
      <w:pPr>
        <w:pStyle w:val="Heading2"/>
      </w:pPr>
      <w:r>
        <w:t>Security</w:t>
      </w:r>
    </w:p>
    <w:p>
      <w:pPr>
        <w:pStyle w:val="BodyText"/>
      </w:pPr>
      <w:r>
        <w:t>NyrA uses consent gates, paid-feature gates, typed IPC, high-impact action approval, and local export/delete controls. The security policy should also document vulnerability reporting, support triage, dependency updates, signing, and incident response.</w:t>
      </w:r>
    </w:p>
    <w:p>
      <w:pPr>
        <w:pStyle w:val="Heading2"/>
      </w:pPr>
      <w:r>
        <w:t>Breach And Incident Response</w:t>
      </w:r>
    </w:p>
    <w:p>
      <w:pPr>
        <w:pStyle w:val="BodyText"/>
      </w:pPr>
      <w:r>
        <w:t>If personal information is compromised, NyrA should investigate, contain the incident, document the scope, notify affected users when legally required, and follow applicable state and federal requirements. South Carolina breach notification rules may apply if personal identifying information of South Carolina residents is involved.</w:t>
      </w:r>
    </w:p>
    <w:p>
      <w:pPr>
        <w:pStyle w:val="Heading2"/>
      </w:pPr>
      <w:r>
        <w:t>Contact</w:t>
      </w:r>
    </w:p>
    <w:p>
      <w:pPr>
        <w:pStyle w:val="BodyText"/>
      </w:pPr>
      <w:r>
        <w:t>Support email: `nyrasupport@gmail.com` pending user creation/confirmation.</w:t>
      </w:r>
    </w:p>
    <w:p>
      <w:pPr>
        <w:pStyle w:val="BodyText"/>
      </w:pPr>
      <w:r>
        <w:t>Do not publish this policy until:</w:t>
      </w:r>
    </w:p>
    <w:p>
      <w:pPr>
        <w:pStyle w:val="ListBullet"/>
      </w:pPr>
      <w:r>
        <w:t>The support inbox exists and is monitored.</w:t>
      </w:r>
    </w:p>
    <w:p>
      <w:pPr>
        <w:pStyle w:val="ListBullet"/>
      </w:pPr>
      <w:r>
        <w:t>The legal business name and address/contact approach are chosen.</w:t>
      </w:r>
    </w:p>
    <w:p>
      <w:pPr>
        <w:pStyle w:val="ListBullet"/>
      </w:pPr>
      <w:r>
        <w:t>The domain and public policy URLs exist.</w:t>
      </w:r>
    </w:p>
    <w:p>
      <w:pPr>
        <w:pStyle w:val="ListBullet"/>
      </w:pPr>
      <w:r>
        <w:t>The attorney review is complete.</w:t>
      </w:r>
    </w:p>
    <w:p>
      <w:pPr>
        <w:pStyle w:val="Heading2"/>
      </w:pPr>
      <w:r>
        <w:t>Source References</w:t>
      </w:r>
    </w:p>
    <w:p>
      <w:pPr>
        <w:pStyle w:val="ListBullet"/>
      </w:pPr>
      <w:r>
        <w:t>FTC Privacy and Security: https://www.ftc.gov/business-guidance/privacy-security</w:t>
      </w:r>
    </w:p>
    <w:p>
      <w:pPr>
        <w:pStyle w:val="ListBullet"/>
      </w:pPr>
      <w:r>
        <w:t>FTC Protecting Personal Information: https://www.ftc.gov/business-guidance/resources/protecting-personal-information-guide-business</w:t>
      </w:r>
    </w:p>
    <w:p>
      <w:pPr>
        <w:pStyle w:val="ListBullet"/>
      </w:pPr>
      <w:r>
        <w:t>OpenAI Data Controls: https://platform.openai.com/docs/guides/your-data</w:t>
      </w:r>
    </w:p>
    <w:p>
      <w:pPr>
        <w:pStyle w:val="ListBullet"/>
      </w:pPr>
      <w:r>
        <w:t>Stripe Checkout: https://docs.stripe.com/payments/checkout</w:t>
      </w:r>
    </w:p>
    <w:p>
      <w:pPr>
        <w:pStyle w:val="ListBullet"/>
      </w:pPr>
      <w:r>
        <w:t>Stripe Customer Portal: https://docs.stripe.com/customer-management</w:t>
      </w:r>
    </w:p>
    <w:p>
      <w:pPr>
        <w:pStyle w:val="ListBullet"/>
      </w:pPr>
      <w:r>
        <w:t>South Carolina Code Section 39-1-90: https://law.justia.com/codes/south-carolina/title-39/chapter-1/section-39-1-90/</w:t>
      </w:r>
    </w:p>
    <w:p>
      <w:pPr>
        <w:pStyle w:val="ListBullet"/>
      </w:pPr>
      <w:r>
        <w:t>FTC Biometric Policy Statement: https://www.ftc.gov/legal-library/browse/policy-statement-federal-trade-commission-biometric-information-section-5-federal-trade-commission</w:t>
      </w:r>
    </w:p>
    <w:p>
      <w:r>
        <w:br w:type="page"/>
      </w:r>
    </w:p>
    <w:p>
      <w:pPr>
        <w:pStyle w:val="Heading1"/>
      </w:pPr>
      <w:r>
        <w:t>Appendix 3: NyrA Swarm Little Buddy Terms of Service Draft</w:t>
      </w:r>
    </w:p>
    <w:p>
      <w:pPr>
        <w:pStyle w:val="BodyText"/>
      </w:pPr>
      <w:r>
        <w:t>Status: Draft for attorney review</w:t>
      </w:r>
    </w:p>
    <w:p>
      <w:pPr>
        <w:pStyle w:val="BodyText"/>
      </w:pPr>
      <w:r>
        <w:t>Last updated: 2026-05-31</w:t>
      </w:r>
    </w:p>
    <w:p>
      <w:pPr>
        <w:pStyle w:val="BodyText"/>
      </w:pPr>
      <w:r>
        <w:t>Scope: NyrA Swarm Little Buddy desktop app only</w:t>
      </w:r>
    </w:p>
    <w:p>
      <w:pPr>
        <w:pStyle w:val="BodyText"/>
      </w:pPr>
      <w:r>
        <w:t>This draft is not legal advice. Publish only after business identity, domain, support inbox, pricing, hosted AI cap, release channel, and attorney review are complete.</w:t>
      </w:r>
    </w:p>
    <w:p>
      <w:pPr>
        <w:pStyle w:val="Heading2"/>
      </w:pPr>
      <w:r>
        <w:t>1. Product</w:t>
      </w:r>
    </w:p>
    <w:p>
      <w:pPr>
        <w:pStyle w:val="BodyText"/>
      </w:pPr>
      <w:r>
        <w:t>NyrA Swarm Little Buddy is a Windows desktop companion that can provide voice, chat, screen-look, camera-look, local memory, and visible computer-control assistance with user permission.</w:t>
      </w:r>
    </w:p>
    <w:p>
      <w:pPr>
        <w:pStyle w:val="BodyText"/>
      </w:pPr>
      <w:r>
        <w:t>NyrA is not a human, employee, lawyer, accountant, doctor, financial adviser, or unrestricted autonomous operator. The product should be described as a permissioned desktop helper, not as full unrestricted access to a user's computer.</w:t>
      </w:r>
    </w:p>
    <w:p>
      <w:pPr>
        <w:pStyle w:val="Heading2"/>
      </w:pPr>
      <w:r>
        <w:t>2. Eligibility</w:t>
      </w:r>
    </w:p>
    <w:p>
      <w:pPr>
        <w:pStyle w:val="BodyText"/>
      </w:pPr>
      <w:r>
        <w:t>You must be legally able to enter into these Terms. NyrA is not intended for children under 13.</w:t>
      </w:r>
    </w:p>
    <w:p>
      <w:pPr>
        <w:pStyle w:val="Heading2"/>
      </w:pPr>
      <w:r>
        <w:t>3. Account, Billing, And Subscription</w:t>
      </w:r>
    </w:p>
    <w:p>
      <w:pPr>
        <w:pStyle w:val="BodyText"/>
      </w:pPr>
      <w:r>
        <w:t>Paid access is expected to run through Stripe Checkout and Stripe Customer Portal.</w:t>
      </w:r>
    </w:p>
    <w:p>
      <w:pPr>
        <w:pStyle w:val="BodyText"/>
      </w:pPr>
      <w:r>
        <w:t>Before charging a customer, the checkout page should clearly disclose:</w:t>
      </w:r>
    </w:p>
    <w:p>
      <w:pPr>
        <w:pStyle w:val="ListBullet"/>
      </w:pPr>
      <w:r>
        <w:t>Product name.</w:t>
      </w:r>
    </w:p>
    <w:p>
      <w:pPr>
        <w:pStyle w:val="ListBullet"/>
      </w:pPr>
      <w:r>
        <w:t>Price.</w:t>
      </w:r>
    </w:p>
    <w:p>
      <w:pPr>
        <w:pStyle w:val="ListBullet"/>
      </w:pPr>
      <w:r>
        <w:t>Billing interval.</w:t>
      </w:r>
    </w:p>
    <w:p>
      <w:pPr>
        <w:pStyle w:val="ListBullet"/>
      </w:pPr>
      <w:r>
        <w:t>No-trial status.</w:t>
      </w:r>
    </w:p>
    <w:p>
      <w:pPr>
        <w:pStyle w:val="ListBullet"/>
      </w:pPr>
      <w:r>
        <w:t>Renewal terms.</w:t>
      </w:r>
    </w:p>
    <w:p>
      <w:pPr>
        <w:pStyle w:val="ListBullet"/>
      </w:pPr>
      <w:r>
        <w:t>Included usage and hosted AI cap.</w:t>
      </w:r>
    </w:p>
    <w:p>
      <w:pPr>
        <w:pStyle w:val="ListBullet"/>
      </w:pPr>
      <w:r>
        <w:t>How cancellation works.</w:t>
      </w:r>
    </w:p>
    <w:p>
      <w:pPr>
        <w:pStyle w:val="ListBullet"/>
      </w:pPr>
      <w:r>
        <w:t>Final-sale refund posture.</w:t>
      </w:r>
    </w:p>
    <w:p>
      <w:pPr>
        <w:pStyle w:val="ListBullet"/>
      </w:pPr>
      <w:r>
        <w:t>Support contact.</w:t>
      </w:r>
    </w:p>
    <w:p>
      <w:pPr>
        <w:pStyle w:val="ListBullet"/>
      </w:pPr>
      <w:r>
        <w:t>Privacy Policy, Terms, EULA, Refund Policy, and Security Policy links.</w:t>
      </w:r>
    </w:p>
    <w:p>
      <w:pPr>
        <w:pStyle w:val="Heading2"/>
      </w:pPr>
      <w:r>
        <w:t>4. No Trial</w:t>
      </w:r>
    </w:p>
    <w:p>
      <w:pPr>
        <w:pStyle w:val="BodyText"/>
      </w:pPr>
      <w:r>
        <w:t>The first paid beta has no free trial unless the command center is updated and checkout is configured differently. Customers are charged when they subscribe.</w:t>
      </w:r>
    </w:p>
    <w:p>
      <w:pPr>
        <w:pStyle w:val="Heading2"/>
      </w:pPr>
      <w:r>
        <w:t>5. Cancellation</w:t>
      </w:r>
    </w:p>
    <w:p>
      <w:pPr>
        <w:pStyle w:val="BodyText"/>
      </w:pPr>
      <w:r>
        <w:t>Customers should be able to cancel future subscription renewals through the Stripe Customer Portal. Cancellation should be at least as easy to access as signup. Cancellation stops future billing but does not automatically refund the current billing period unless required by law or approved for a billing error.</w:t>
      </w:r>
    </w:p>
    <w:p>
      <w:pPr>
        <w:pStyle w:val="Heading2"/>
      </w:pPr>
      <w:r>
        <w:t>6. Refunds</w:t>
      </w:r>
    </w:p>
    <w:p>
      <w:pPr>
        <w:pStyle w:val="BodyText"/>
      </w:pPr>
      <w:r>
        <w:t>All purchases are final except where required by law or where NyrA approves a refund for a billing error, duplicate charge, unauthorized charge, or verified license delivery failure caused by NyrA's billing system.</w:t>
      </w:r>
    </w:p>
    <w:p>
      <w:pPr>
        <w:pStyle w:val="Heading2"/>
      </w:pPr>
      <w:r>
        <w:t>7. User Responsibilities</w:t>
      </w:r>
    </w:p>
    <w:p>
      <w:pPr>
        <w:pStyle w:val="BodyText"/>
      </w:pPr>
      <w:r>
        <w:t>You are responsible for:</w:t>
      </w:r>
    </w:p>
    <w:p>
      <w:pPr>
        <w:pStyle w:val="ListBullet"/>
      </w:pPr>
      <w:r>
        <w:t>Reviewing prompts and actions before approving high-impact actions.</w:t>
      </w:r>
    </w:p>
    <w:p>
      <w:pPr>
        <w:pStyle w:val="ListBullet"/>
      </w:pPr>
      <w:r>
        <w:t>Keeping API keys, passwords, recovery codes, payment credentials, and private documents secure.</w:t>
      </w:r>
    </w:p>
    <w:p>
      <w:pPr>
        <w:pStyle w:val="ListBullet"/>
      </w:pPr>
      <w:r>
        <w:t>Confirming that NyrA has the correct app, file, page, and context before asking it to act.</w:t>
      </w:r>
    </w:p>
    <w:p>
      <w:pPr>
        <w:pStyle w:val="ListBullet"/>
      </w:pPr>
      <w:r>
        <w:t>Using NyrA only where you have permission to operate the computer, account, website, file, or system.</w:t>
      </w:r>
    </w:p>
    <w:p>
      <w:pPr>
        <w:pStyle w:val="ListBullet"/>
      </w:pPr>
      <w:r>
        <w:t>Backing up important files before using automation on them.</w:t>
      </w:r>
    </w:p>
    <w:p>
      <w:pPr>
        <w:pStyle w:val="ListBullet"/>
      </w:pPr>
      <w:r>
        <w:t>Complying with laws, third-party platform terms, employer policies, and account rules.</w:t>
      </w:r>
    </w:p>
    <w:p>
      <w:pPr>
        <w:pStyle w:val="Heading2"/>
      </w:pPr>
      <w:r>
        <w:t>8. Permissioned Features</w:t>
      </w:r>
    </w:p>
    <w:p>
      <w:pPr>
        <w:pStyle w:val="BodyText"/>
      </w:pPr>
      <w:r>
        <w:t>Some features require explicit consent:</w:t>
      </w:r>
    </w:p>
    <w:p>
      <w:pPr>
        <w:pStyle w:val="ListBullet"/>
      </w:pPr>
      <w:r>
        <w:t>Microphone and live voice.</w:t>
      </w:r>
    </w:p>
    <w:p>
      <w:pPr>
        <w:pStyle w:val="ListBullet"/>
      </w:pPr>
      <w:r>
        <w:t>Camera look.</w:t>
      </w:r>
    </w:p>
    <w:p>
      <w:pPr>
        <w:pStyle w:val="ListBullet"/>
      </w:pPr>
      <w:r>
        <w:t>Screen look.</w:t>
      </w:r>
    </w:p>
    <w:p>
      <w:pPr>
        <w:pStyle w:val="ListBullet"/>
      </w:pPr>
      <w:r>
        <w:t>Third-party AI processing.</w:t>
      </w:r>
    </w:p>
    <w:p>
      <w:pPr>
        <w:pStyle w:val="ListBullet"/>
      </w:pPr>
      <w:r>
        <w:t>Local memory.</w:t>
      </w:r>
    </w:p>
    <w:p>
      <w:pPr>
        <w:pStyle w:val="ListBullet"/>
      </w:pPr>
      <w:r>
        <w:t>Passive context logs.</w:t>
      </w:r>
    </w:p>
    <w:p>
      <w:pPr>
        <w:pStyle w:val="ListBullet"/>
      </w:pPr>
      <w:r>
        <w:t>Computer control.</w:t>
      </w:r>
    </w:p>
    <w:p>
      <w:pPr>
        <w:pStyle w:val="BodyText"/>
      </w:pPr>
      <w:r>
        <w:t>Turning on a permission does not authorize every future high-impact action. Payment, credential, destructive, account-changing, system-setting, installer/script, developer-terminal, and data-sharing risks should require additional approval.</w:t>
      </w:r>
    </w:p>
    <w:p>
      <w:pPr>
        <w:pStyle w:val="Heading2"/>
      </w:pPr>
      <w:r>
        <w:t>9. Prohibited Uses</w:t>
      </w:r>
    </w:p>
    <w:p>
      <w:pPr>
        <w:pStyle w:val="BodyText"/>
      </w:pPr>
      <w:r>
        <w:t>You may not use NyrA to:</w:t>
      </w:r>
    </w:p>
    <w:p>
      <w:pPr>
        <w:pStyle w:val="ListBullet"/>
      </w:pPr>
      <w:r>
        <w:t>Break into systems, accounts, files, networks, or services.</w:t>
      </w:r>
    </w:p>
    <w:p>
      <w:pPr>
        <w:pStyle w:val="ListBullet"/>
      </w:pPr>
      <w:r>
        <w:t>Bypass paywalls, access controls, MFA, or security systems.</w:t>
      </w:r>
    </w:p>
    <w:p>
      <w:pPr>
        <w:pStyle w:val="ListBullet"/>
      </w:pPr>
      <w:r>
        <w:t>Steal, expose, or misuse credentials, payment details, API keys, personal data, or private files.</w:t>
      </w:r>
    </w:p>
    <w:p>
      <w:pPr>
        <w:pStyle w:val="ListBullet"/>
      </w:pPr>
      <w:r>
        <w:t>Commit fraud, harassment, impersonation, spam, malware activity, or other unlawful activity.</w:t>
      </w:r>
    </w:p>
    <w:p>
      <w:pPr>
        <w:pStyle w:val="ListBullet"/>
      </w:pPr>
      <w:r>
        <w:t>Make legal, medical, financial, employment, housing, credit, or insurance decisions without qualified human review.</w:t>
      </w:r>
    </w:p>
    <w:p>
      <w:pPr>
        <w:pStyle w:val="ListBullet"/>
      </w:pPr>
      <w:r>
        <w:t>Represent NyrA outputs as guaranteed accurate or professional advice.</w:t>
      </w:r>
    </w:p>
    <w:p>
      <w:pPr>
        <w:pStyle w:val="ListBullet"/>
      </w:pPr>
      <w:r>
        <w:t>Use NyrA for biometric identification, voice authentication, or surveillance claims unless a legally reviewed feature exists.</w:t>
      </w:r>
    </w:p>
    <w:p>
      <w:pPr>
        <w:pStyle w:val="Heading2"/>
      </w:pPr>
      <w:r>
        <w:t>10. AI Output And Automation Limits</w:t>
      </w:r>
    </w:p>
    <w:p>
      <w:pPr>
        <w:pStyle w:val="BodyText"/>
      </w:pPr>
      <w:r>
        <w:t>AI output can be wrong, incomplete, stale, or unsafe. Automation can click the wrong item, type the wrong text, or affect files/accounts in unintended ways. NyrA should surface visible control states, emergency stop behavior, approval gates, and audit records, but you remain responsible for supervising actions.</w:t>
      </w:r>
    </w:p>
    <w:p>
      <w:pPr>
        <w:pStyle w:val="Heading2"/>
      </w:pPr>
      <w:r>
        <w:t>11. Third-Party Services</w:t>
      </w:r>
    </w:p>
    <w:p>
      <w:pPr>
        <w:pStyle w:val="BodyText"/>
      </w:pPr>
      <w:r>
        <w:t>NyrA may depend on Stripe, OpenAI, Anthropic, Google Gemini, xAI/Grok, Cloudflare, email providers, Microsoft Windows, and other services. Third-party services have their own terms, availability, security practices, pricing, and retention policies.</w:t>
      </w:r>
    </w:p>
    <w:p>
      <w:pPr>
        <w:pStyle w:val="Heading2"/>
      </w:pPr>
      <w:r>
        <w:t>12. Updates And Availability</w:t>
      </w:r>
    </w:p>
    <w:p>
      <w:pPr>
        <w:pStyle w:val="BodyText"/>
      </w:pPr>
      <w:r>
        <w:t>NyrA may change features, prices, usage limits, provider routing, supported platforms, and release channels. Beta features may break or be removed. Paid access should not be sold until the release channel, entitlement service, support process, and cancellation process are ready.</w:t>
      </w:r>
    </w:p>
    <w:p>
      <w:pPr>
        <w:pStyle w:val="Heading2"/>
      </w:pPr>
      <w:r>
        <w:t>13. Termination</w:t>
      </w:r>
    </w:p>
    <w:p>
      <w:pPr>
        <w:pStyle w:val="BodyText"/>
      </w:pPr>
      <w:r>
        <w:t>NyrA may suspend or terminate access for non-payment, fraud, abuse, security risk, prohibited use, or legal requirements. Termination does not waive amounts already due.</w:t>
      </w:r>
    </w:p>
    <w:p>
      <w:pPr>
        <w:pStyle w:val="Heading2"/>
      </w:pPr>
      <w:r>
        <w:t>14. Disclaimers</w:t>
      </w:r>
    </w:p>
    <w:p>
      <w:pPr>
        <w:pStyle w:val="BodyText"/>
      </w:pPr>
      <w:r>
        <w:t>To the extent permitted by law, NyrA is provided as-is and as-available. NyrA does not guarantee uninterrupted operation, error-free automation, exact AI responses, provider availability, or suitability for high-risk uses.</w:t>
      </w:r>
    </w:p>
    <w:p>
      <w:pPr>
        <w:pStyle w:val="Heading2"/>
      </w:pPr>
      <w:r>
        <w:t>15. Limitation Of Liability</w:t>
      </w:r>
    </w:p>
    <w:p>
      <w:pPr>
        <w:pStyle w:val="BodyText"/>
      </w:pPr>
      <w:r>
        <w:t>Attorney review must set the final liability cap, exclusions, arbitration/class-action posture, and state-law handling. Do not publish this section without legal review.</w:t>
      </w:r>
    </w:p>
    <w:p>
      <w:pPr>
        <w:pStyle w:val="Heading2"/>
      </w:pPr>
      <w:r>
        <w:t>16. Governing Law</w:t>
      </w:r>
    </w:p>
    <w:p>
      <w:pPr>
        <w:pStyle w:val="BodyText"/>
      </w:pPr>
      <w:r>
        <w:t>Placeholder: South Carolina / United States, subject to attorney review and final business entity decision.</w:t>
      </w:r>
    </w:p>
    <w:p>
      <w:pPr>
        <w:pStyle w:val="Heading2"/>
      </w:pPr>
      <w:r>
        <w:t>17. Contact</w:t>
      </w:r>
    </w:p>
    <w:p>
      <w:pPr>
        <w:pStyle w:val="BodyText"/>
      </w:pPr>
      <w:r>
        <w:t>Support email: `nyrasupport@gmail.com` pending user creation/confirmation.</w:t>
      </w:r>
    </w:p>
    <w:p>
      <w:pPr>
        <w:pStyle w:val="Heading2"/>
      </w:pPr>
      <w:r>
        <w:t>Source References</w:t>
      </w:r>
    </w:p>
    <w:p>
      <w:pPr>
        <w:pStyle w:val="ListBullet"/>
      </w:pPr>
      <w:r>
        <w:t>FTC subscription disclosure and cancellation guidance: https://www.ftc.gov/business-guidance/blog/2024/10/click-cancel-ftcs-amended-negative-option-rule-what-it-means-your-business</w:t>
      </w:r>
    </w:p>
    <w:p>
      <w:pPr>
        <w:pStyle w:val="ListBullet"/>
      </w:pPr>
      <w:r>
        <w:t>Stripe Checkout: https://docs.stripe.com/payments/checkout</w:t>
      </w:r>
    </w:p>
    <w:p>
      <w:pPr>
        <w:pStyle w:val="ListBullet"/>
      </w:pPr>
      <w:r>
        <w:t>Stripe Customer Portal: https://docs.stripe.com/customer-management</w:t>
      </w:r>
    </w:p>
    <w:p>
      <w:pPr>
        <w:pStyle w:val="ListBullet"/>
      </w:pPr>
      <w:r>
        <w:t>Stripe refunds support: https://support.stripe.com/questions/how-to-refund-a-customer</w:t>
      </w:r>
    </w:p>
    <w:p>
      <w:r>
        <w:br w:type="page"/>
      </w:r>
    </w:p>
    <w:p>
      <w:pPr>
        <w:pStyle w:val="Heading1"/>
      </w:pPr>
      <w:r>
        <w:t>Appendix 4: NyrA Swarm Little Buddy EULA Draft</w:t>
      </w:r>
    </w:p>
    <w:p>
      <w:pPr>
        <w:pStyle w:val="BodyText"/>
      </w:pPr>
      <w:r>
        <w:t>Status: Draft for attorney review</w:t>
      </w:r>
    </w:p>
    <w:p>
      <w:pPr>
        <w:pStyle w:val="BodyText"/>
      </w:pPr>
      <w:r>
        <w:t>Last updated: 2026-05-31</w:t>
      </w:r>
    </w:p>
    <w:p>
      <w:pPr>
        <w:pStyle w:val="BodyText"/>
      </w:pPr>
      <w:r>
        <w:t>Scope: NyrA Swarm Little Buddy desktop app only</w:t>
      </w:r>
    </w:p>
    <w:p>
      <w:pPr>
        <w:pStyle w:val="BodyText"/>
      </w:pPr>
      <w:r>
        <w:t>This End User License Agreement draft should be reviewed before the app is sold, signed, or publicly distributed.</w:t>
      </w:r>
    </w:p>
    <w:p>
      <w:pPr>
        <w:pStyle w:val="Heading2"/>
      </w:pPr>
      <w:r>
        <w:t>1. License Grant</w:t>
      </w:r>
    </w:p>
    <w:p>
      <w:pPr>
        <w:pStyle w:val="BodyText"/>
      </w:pPr>
      <w:r>
        <w:t>Subject to payment, activation, and compliance with the Terms, NyrA grants you a limited, non-exclusive, non-transferable, revocable license to install and use NyrA Swarm Little Buddy on supported Windows devices for personal or internal business productivity.</w:t>
      </w:r>
    </w:p>
    <w:p>
      <w:pPr>
        <w:pStyle w:val="Heading2"/>
      </w:pPr>
      <w:r>
        <w:t>2. Ownership</w:t>
      </w:r>
    </w:p>
    <w:p>
      <w:pPr>
        <w:pStyle w:val="BodyText"/>
      </w:pPr>
      <w:r>
        <w:t>The software is licensed, not sold. NyrA and its licensors retain ownership of the application, source code, trademarks, design, documentation, and related intellectual property.</w:t>
      </w:r>
    </w:p>
    <w:p>
      <w:pPr>
        <w:pStyle w:val="Heading2"/>
      </w:pPr>
      <w:r>
        <w:t>3. Activation And Entitlement</w:t>
      </w:r>
    </w:p>
    <w:p>
      <w:pPr>
        <w:pStyle w:val="BodyText"/>
      </w:pPr>
      <w:r>
        <w:t>The app may require subscription activation, device registration, entitlement refresh, and license checks. Paid features may stop working if the subscription is inactive, payment fails, fraud is detected, the entitlement service is unavailable outside the permitted grace period, or the license is revoked.</w:t>
      </w:r>
    </w:p>
    <w:p>
      <w:pPr>
        <w:pStyle w:val="Heading2"/>
      </w:pPr>
      <w:r>
        <w:t>4. Local Permissions</w:t>
      </w:r>
    </w:p>
    <w:p>
      <w:pPr>
        <w:pStyle w:val="BodyText"/>
      </w:pPr>
      <w:r>
        <w:t>The app may request permission for microphone, camera, screen, local memory, passive context logs, third-party AI processing, and computer control. Permissions should be configurable in the app. Some features will not work if permission is denied.</w:t>
      </w:r>
    </w:p>
    <w:p>
      <w:pPr>
        <w:pStyle w:val="Heading2"/>
      </w:pPr>
      <w:r>
        <w:t>5. Computer-Control Features</w:t>
      </w:r>
    </w:p>
    <w:p>
      <w:pPr>
        <w:pStyle w:val="BodyText"/>
      </w:pPr>
      <w:r>
        <w:t>NyrA can move the mouse, click, type, scroll, press keys, open URLs, open apps/paths, and run visible task sequences when enabled. High-impact actions should require additional approval. You are responsible for supervising automation and keeping backups.</w:t>
      </w:r>
    </w:p>
    <w:p>
      <w:pPr>
        <w:pStyle w:val="Heading2"/>
      </w:pPr>
      <w:r>
        <w:t>6. Restrictions</w:t>
      </w:r>
    </w:p>
    <w:p>
      <w:pPr>
        <w:pStyle w:val="BodyText"/>
      </w:pPr>
      <w:r>
        <w:t>You may not:</w:t>
      </w:r>
    </w:p>
    <w:p>
      <w:pPr>
        <w:pStyle w:val="ListBullet"/>
      </w:pPr>
      <w:r>
        <w:t>Copy, redistribute, sublicense, rent, lease, sell, or host the software except as allowed by a written agreement.</w:t>
      </w:r>
    </w:p>
    <w:p>
      <w:pPr>
        <w:pStyle w:val="ListBullet"/>
      </w:pPr>
      <w:r>
        <w:t>Reverse engineer, decompile, modify, or bypass license checks except where law allows.</w:t>
      </w:r>
    </w:p>
    <w:p>
      <w:pPr>
        <w:pStyle w:val="ListBullet"/>
      </w:pPr>
      <w:r>
        <w:t>Remove notices, watermarks, consent prompts, safety gates, or audit logs.</w:t>
      </w:r>
    </w:p>
    <w:p>
      <w:pPr>
        <w:pStyle w:val="ListBullet"/>
      </w:pPr>
      <w:r>
        <w:t>Use NyrA to attack, bypass, scrape, spam, defraud, or access systems without authorization.</w:t>
      </w:r>
    </w:p>
    <w:p>
      <w:pPr>
        <w:pStyle w:val="ListBullet"/>
      </w:pPr>
      <w:r>
        <w:t>Use NyrA in high-risk environments where failure could cause death, injury, critical infrastructure harm, or severe financial/legal harm.</w:t>
      </w:r>
    </w:p>
    <w:p>
      <w:pPr>
        <w:pStyle w:val="Heading2"/>
      </w:pPr>
      <w:r>
        <w:t>7. Updates</w:t>
      </w:r>
    </w:p>
    <w:p>
      <w:pPr>
        <w:pStyle w:val="BodyText"/>
      </w:pPr>
      <w:r>
        <w:t>NyrA may install or require updates for security, compatibility, billing, provider routing, or feature changes. Some older versions may stop being supported.</w:t>
      </w:r>
    </w:p>
    <w:p>
      <w:pPr>
        <w:pStyle w:val="Heading2"/>
      </w:pPr>
      <w:r>
        <w:t>8. Third-Party Components</w:t>
      </w:r>
    </w:p>
    <w:p>
      <w:pPr>
        <w:pStyle w:val="BodyText"/>
      </w:pPr>
      <w:r>
        <w:t>The app uses third-party software, services, APIs, and models. Those components may be subject to separate licenses, terms, data policies, and availability limits.</w:t>
      </w:r>
    </w:p>
    <w:p>
      <w:pPr>
        <w:pStyle w:val="Heading2"/>
      </w:pPr>
      <w:r>
        <w:t>9. Data</w:t>
      </w:r>
    </w:p>
    <w:p>
      <w:pPr>
        <w:pStyle w:val="BodyText"/>
      </w:pPr>
      <w:r>
        <w:t>The Privacy Policy controls how data is collected, used, stored, transmitted, exported, and deleted. The app should not store full card numbers, raw Stripe secret keys, full EIN/SSN, passwords, recovery codes, or raw API keys in command-center files.</w:t>
      </w:r>
    </w:p>
    <w:p>
      <w:pPr>
        <w:pStyle w:val="Heading2"/>
      </w:pPr>
      <w:r>
        <w:t>10. Termination</w:t>
      </w:r>
    </w:p>
    <w:p>
      <w:pPr>
        <w:pStyle w:val="BodyText"/>
      </w:pPr>
      <w:r>
        <w:t>This license ends if you violate the EULA, Terms, law, provider terms, or subscription requirements. After termination, you must stop using paid features and uninstall or deactivate the app if requested.</w:t>
      </w:r>
    </w:p>
    <w:p>
      <w:pPr>
        <w:pStyle w:val="Heading2"/>
      </w:pPr>
      <w:r>
        <w:t>11. Warranty Disclaimer</w:t>
      </w:r>
    </w:p>
    <w:p>
      <w:pPr>
        <w:pStyle w:val="BodyText"/>
      </w:pPr>
      <w:r>
        <w:t>To the extent permitted by law, the software is provided as-is and as-available. AI outputs and desktop automation are not guaranteed to be accurate, uninterrupted, secure, or error-free.</w:t>
      </w:r>
    </w:p>
    <w:p>
      <w:pPr>
        <w:pStyle w:val="Heading2"/>
      </w:pPr>
      <w:r>
        <w:t>12. Liability And Dispute Terms</w:t>
      </w:r>
    </w:p>
    <w:p>
      <w:pPr>
        <w:pStyle w:val="BodyText"/>
      </w:pPr>
      <w:r>
        <w:t>Attorney review must set the final liability, dispute, arbitration, class-action, venue, warranty, and consumer-law language.</w:t>
      </w:r>
    </w:p>
    <w:p>
      <w:pPr>
        <w:pStyle w:val="Heading2"/>
      </w:pPr>
      <w:r>
        <w:t>13. Contact</w:t>
      </w:r>
    </w:p>
    <w:p>
      <w:pPr>
        <w:pStyle w:val="BodyText"/>
      </w:pPr>
      <w:r>
        <w:t>Support email: `nyrasupport@gmail.com` pending user creation/confirmation.</w:t>
      </w:r>
    </w:p>
    <w:p>
      <w:r>
        <w:br w:type="page"/>
      </w:r>
    </w:p>
    <w:p>
      <w:pPr>
        <w:pStyle w:val="Heading1"/>
      </w:pPr>
      <w:r>
        <w:t>Appendix 5: Refund and Cancellation Policy Draft</w:t>
      </w:r>
    </w:p>
    <w:p>
      <w:pPr>
        <w:pStyle w:val="BodyText"/>
      </w:pPr>
      <w:r>
        <w:t>Status: Draft for attorney review</w:t>
      </w:r>
    </w:p>
    <w:p>
      <w:pPr>
        <w:pStyle w:val="BodyText"/>
      </w:pPr>
      <w:r>
        <w:t>Last updated: 2026-05-31</w:t>
      </w:r>
    </w:p>
    <w:p>
      <w:pPr>
        <w:pStyle w:val="BodyText"/>
      </w:pPr>
      <w:r>
        <w:t>Scope: NyrA Swarm Little Buddy desktop app only</w:t>
      </w:r>
    </w:p>
    <w:p>
      <w:pPr>
        <w:pStyle w:val="BodyText"/>
      </w:pPr>
      <w:r>
        <w:t>This draft reflects the requested "all purchases are final" posture, with practical exceptions for legal requirements, billing errors, and subscription cancellation. It should be reviewed before publication.</w:t>
      </w:r>
    </w:p>
    <w:p>
      <w:pPr>
        <w:pStyle w:val="Heading2"/>
      </w:pPr>
      <w:r>
        <w:t>Plain-English Summary</w:t>
      </w:r>
    </w:p>
    <w:p>
      <w:pPr>
        <w:pStyle w:val="BodyText"/>
      </w:pPr>
      <w:r>
        <w:t>All purchases are final. NyrA does not offer refunds for change of mind, unused time, setup issues caused by unsupported systems, or failure to cancel before renewal.</w:t>
      </w:r>
    </w:p>
    <w:p>
      <w:pPr>
        <w:pStyle w:val="BodyText"/>
      </w:pPr>
      <w:r>
        <w:t>Customers can cancel future subscription renewals through the billing portal. Cancellation stops future billing but does not automatically refund the current billing period.</w:t>
      </w:r>
    </w:p>
    <w:p>
      <w:pPr>
        <w:pStyle w:val="Heading2"/>
      </w:pPr>
      <w:r>
        <w:t>Refund Policy</w:t>
      </w:r>
    </w:p>
    <w:p>
      <w:pPr>
        <w:pStyle w:val="BodyText"/>
      </w:pPr>
      <w:r>
        <w:t>Payments for NyrA Swarm Little Buddy are final and non-refundable except where required by law or where NyrA determines that a refund is appropriate for a billing error.</w:t>
      </w:r>
    </w:p>
    <w:p>
      <w:pPr>
        <w:pStyle w:val="BodyText"/>
      </w:pPr>
      <w:r>
        <w:t>Examples of cases that may qualify for review:</w:t>
      </w:r>
    </w:p>
    <w:p>
      <w:pPr>
        <w:pStyle w:val="ListBullet"/>
      </w:pPr>
      <w:r>
        <w:t>Duplicate charge.</w:t>
      </w:r>
    </w:p>
    <w:p>
      <w:pPr>
        <w:pStyle w:val="ListBullet"/>
      </w:pPr>
      <w:r>
        <w:t>Incorrect amount charged.</w:t>
      </w:r>
    </w:p>
    <w:p>
      <w:pPr>
        <w:pStyle w:val="ListBullet"/>
      </w:pPr>
      <w:r>
        <w:t>Charge after a confirmed cancellation should have taken effect.</w:t>
      </w:r>
    </w:p>
    <w:p>
      <w:pPr>
        <w:pStyle w:val="ListBullet"/>
      </w:pPr>
      <w:r>
        <w:t>Unauthorized or fraudulent charge.</w:t>
      </w:r>
    </w:p>
    <w:p>
      <w:pPr>
        <w:pStyle w:val="ListBullet"/>
      </w:pPr>
      <w:r>
        <w:t>Service was not delivered because of a verified NyrA billing or licensing system failure.</w:t>
      </w:r>
    </w:p>
    <w:p>
      <w:pPr>
        <w:pStyle w:val="BodyText"/>
      </w:pPr>
      <w:r>
        <w:t>Examples of cases that normally do not qualify:</w:t>
      </w:r>
    </w:p>
    <w:p>
      <w:pPr>
        <w:pStyle w:val="ListBullet"/>
      </w:pPr>
      <w:r>
        <w:t>Customer changed their mind.</w:t>
      </w:r>
    </w:p>
    <w:p>
      <w:pPr>
        <w:pStyle w:val="ListBullet"/>
      </w:pPr>
      <w:r>
        <w:t>Customer did not use the app.</w:t>
      </w:r>
    </w:p>
    <w:p>
      <w:pPr>
        <w:pStyle w:val="ListBullet"/>
      </w:pPr>
      <w:r>
        <w:t>Customer forgot to cancel before renewal.</w:t>
      </w:r>
    </w:p>
    <w:p>
      <w:pPr>
        <w:pStyle w:val="ListBullet"/>
      </w:pPr>
      <w:r>
        <w:t>Customer expected features that were not included in the published plan.</w:t>
      </w:r>
    </w:p>
    <w:p>
      <w:pPr>
        <w:pStyle w:val="ListBullet"/>
      </w:pPr>
      <w:r>
        <w:t>Customer cannot use unsupported hardware, OS versions, networks, or third-party provider accounts.</w:t>
      </w:r>
    </w:p>
    <w:p>
      <w:pPr>
        <w:pStyle w:val="ListBullet"/>
      </w:pPr>
      <w:r>
        <w:t>Customer used AI provider credits or hosted usage during the billing period.</w:t>
      </w:r>
    </w:p>
    <w:p>
      <w:pPr>
        <w:pStyle w:val="Heading2"/>
      </w:pPr>
      <w:r>
        <w:t>Subscription Cancellation</w:t>
      </w:r>
    </w:p>
    <w:p>
      <w:pPr>
        <w:pStyle w:val="BodyText"/>
      </w:pPr>
      <w:r>
        <w:t>Customers may cancel future subscription renewals through the billing portal.</w:t>
      </w:r>
    </w:p>
    <w:p>
      <w:pPr>
        <w:pStyle w:val="BodyText"/>
      </w:pPr>
      <w:r>
        <w:t>Unless otherwise stated during checkout:</w:t>
      </w:r>
    </w:p>
    <w:p>
      <w:pPr>
        <w:pStyle w:val="ListBullet"/>
      </w:pPr>
      <w:r>
        <w:t>Cancellation takes effect at the end of the current paid billing period.</w:t>
      </w:r>
    </w:p>
    <w:p>
      <w:pPr>
        <w:pStyle w:val="ListBullet"/>
      </w:pPr>
      <w:r>
        <w:t>Access continues until the current paid billing period ends.</w:t>
      </w:r>
    </w:p>
    <w:p>
      <w:pPr>
        <w:pStyle w:val="ListBullet"/>
      </w:pPr>
      <w:r>
        <w:t>NyrA does not provide prorated refunds for partial billing periods unless required by law or approved for a billing error.</w:t>
      </w:r>
    </w:p>
    <w:p>
      <w:pPr>
        <w:pStyle w:val="Heading2"/>
      </w:pPr>
      <w:r>
        <w:t>No Trial</w:t>
      </w:r>
    </w:p>
    <w:p>
      <w:pPr>
        <w:pStyle w:val="BodyText"/>
      </w:pPr>
      <w:r>
        <w:t>The first paid launch has no free trial. Customers are charged when they subscribe.</w:t>
      </w:r>
    </w:p>
    <w:p>
      <w:pPr>
        <w:pStyle w:val="Heading2"/>
      </w:pPr>
      <w:r>
        <w:t>Support Contact</w:t>
      </w:r>
    </w:p>
    <w:p>
      <w:pPr>
        <w:pStyle w:val="BodyText"/>
      </w:pPr>
      <w:r>
        <w:t>Support email: `nyrasupport@gmail.com` pending user creation/confirmation.</w:t>
      </w:r>
    </w:p>
    <w:p>
      <w:pPr>
        <w:pStyle w:val="BodyText"/>
      </w:pPr>
      <w:r>
        <w:t>Do not publish this policy until the support mailbox exists and is monitored.</w:t>
      </w:r>
    </w:p>
    <w:p>
      <w:pPr>
        <w:pStyle w:val="Heading2"/>
      </w:pPr>
      <w:r>
        <w:t>Required Checkout Disclosures</w:t>
      </w:r>
    </w:p>
    <w:p>
      <w:pPr>
        <w:pStyle w:val="BodyText"/>
      </w:pPr>
      <w:r>
        <w:t>Before payment, checkout and pricing pages should clearly disclose:</w:t>
      </w:r>
    </w:p>
    <w:p>
      <w:pPr>
        <w:pStyle w:val="ListBullet"/>
      </w:pPr>
      <w:r>
        <w:t>Price.</w:t>
      </w:r>
    </w:p>
    <w:p>
      <w:pPr>
        <w:pStyle w:val="ListBullet"/>
      </w:pPr>
      <w:r>
        <w:t>Billing interval.</w:t>
      </w:r>
    </w:p>
    <w:p>
      <w:pPr>
        <w:pStyle w:val="ListBullet"/>
      </w:pPr>
      <w:r>
        <w:t>No-trial status.</w:t>
      </w:r>
    </w:p>
    <w:p>
      <w:pPr>
        <w:pStyle w:val="ListBullet"/>
      </w:pPr>
      <w:r>
        <w:t>Renewal terms.</w:t>
      </w:r>
    </w:p>
    <w:p>
      <w:pPr>
        <w:pStyle w:val="ListBullet"/>
      </w:pPr>
      <w:r>
        <w:t>How cancellation works.</w:t>
      </w:r>
    </w:p>
    <w:p>
      <w:pPr>
        <w:pStyle w:val="ListBullet"/>
      </w:pPr>
      <w:r>
        <w:t>Final-sale refund posture.</w:t>
      </w:r>
    </w:p>
    <w:p>
      <w:pPr>
        <w:pStyle w:val="ListBullet"/>
      </w:pPr>
      <w:r>
        <w:t>Included features.</w:t>
      </w:r>
    </w:p>
    <w:p>
      <w:pPr>
        <w:pStyle w:val="ListBullet"/>
      </w:pPr>
      <w:r>
        <w:t>Usage limits for hosted AI, if hosted AI is included.</w:t>
      </w:r>
    </w:p>
    <w:p>
      <w:pPr>
        <w:pStyle w:val="ListBullet"/>
      </w:pPr>
      <w:r>
        <w:t>Whether customer-provided AI keys are required.</w:t>
      </w:r>
    </w:p>
    <w:p>
      <w:pPr>
        <w:pStyle w:val="Heading2"/>
      </w:pPr>
      <w:r>
        <w:t>Review Notes</w:t>
      </w:r>
    </w:p>
    <w:p>
      <w:pPr>
        <w:pStyle w:val="BodyText"/>
      </w:pPr>
      <w:r>
        <w:t>This policy must stay compatible with subscription cancellation rules. Even with a final-sale posture, customers need a clear and simple way to stop future renewals.</w:t>
      </w:r>
    </w:p>
    <w:p>
      <w:pPr>
        <w:pStyle w:val="BodyText"/>
      </w:pPr>
      <w:r>
        <w:t>Source references:</w:t>
      </w:r>
    </w:p>
    <w:p>
      <w:pPr>
        <w:pStyle w:val="ListBullet"/>
      </w:pPr>
      <w:r>
        <w:t>FTC recurring subscriptions / click to cancel: https://www.ftc.gov/business-guidance/blog/2024/10/click-cancel-ftcs-amended-negative-option-rule-what-it-means-your-business</w:t>
      </w:r>
    </w:p>
    <w:p>
      <w:pPr>
        <w:pStyle w:val="ListBullet"/>
      </w:pPr>
      <w:r>
        <w:t>Stripe Customer Portal: https://docs.stripe.com/customer-management</w:t>
      </w:r>
    </w:p>
    <w:p>
      <w:pPr>
        <w:pStyle w:val="ListBullet"/>
      </w:pPr>
      <w:r>
        <w:t>Stripe refunds support: https://support.stripe.com/questions/how-to-refund-a-customer</w:t>
      </w:r>
    </w:p>
    <w:p>
      <w:r>
        <w:br w:type="page"/>
      </w:r>
    </w:p>
    <w:p>
      <w:pPr>
        <w:pStyle w:val="Heading1"/>
      </w:pPr>
      <w:r>
        <w:t>Appendix 6: NyrA Swarm Little Buddy Security Policy Draft</w:t>
      </w:r>
    </w:p>
    <w:p>
      <w:pPr>
        <w:pStyle w:val="BodyText"/>
      </w:pPr>
      <w:r>
        <w:t>Status: Draft for attorney review and release review</w:t>
      </w:r>
    </w:p>
    <w:p>
      <w:pPr>
        <w:pStyle w:val="BodyText"/>
      </w:pPr>
      <w:r>
        <w:t>Last updated: 2026-05-31</w:t>
      </w:r>
    </w:p>
    <w:p>
      <w:pPr>
        <w:pStyle w:val="BodyText"/>
      </w:pPr>
      <w:r>
        <w:t>Scope: NyrA Swarm Little Buddy desktop app only</w:t>
      </w:r>
    </w:p>
    <w:p>
      <w:pPr>
        <w:pStyle w:val="Heading2"/>
      </w:pPr>
      <w:r>
        <w:t>Supported Versions</w:t>
      </w:r>
    </w:p>
    <w:tbl>
      <w:tblPr>
        <w:tblStyle w:val="TableGrid"/>
        <w:tblW w:type="auto" w:w="0"/>
        <w:jc w:val="center"/>
        <w:tblLook w:firstColumn="1" w:firstRow="1" w:lastColumn="0" w:lastRow="0" w:noHBand="0" w:noVBand="1" w:val="04A0"/>
      </w:tblPr>
      <w:tblGrid>
        <w:gridCol w:w="4680"/>
        <w:gridCol w:w="4680"/>
      </w:tblGrid>
      <w:tr>
        <w:tc>
          <w:tcPr>
            <w:tcW w:type="dxa" w:w="2200"/>
            <w:vAlign w:val="center"/>
            <w:shd w:fill="F2F4F7"/>
          </w:tcPr>
          <w:p>
            <w:pPr>
              <w:pStyle w:val="BodyText"/>
              <w:spacing w:after="0"/>
            </w:pPr>
            <w:r>
              <w:rPr>
                <w:b/>
              </w:rPr>
              <w:t>Version</w:t>
            </w:r>
          </w:p>
        </w:tc>
        <w:tc>
          <w:tcPr>
            <w:tcW w:type="dxa" w:w="3580"/>
            <w:vAlign w:val="center"/>
            <w:shd w:fill="F2F4F7"/>
          </w:tcPr>
          <w:p>
            <w:pPr>
              <w:pStyle w:val="BodyText"/>
              <w:spacing w:after="0"/>
            </w:pPr>
            <w:r>
              <w:rPr>
                <w:b/>
              </w:rPr>
              <w:t>Status</w:t>
            </w:r>
          </w:p>
        </w:tc>
      </w:tr>
      <w:tr>
        <w:tc>
          <w:tcPr>
            <w:tcW w:type="dxa" w:w="2200"/>
            <w:vAlign w:val="center"/>
          </w:tcPr>
          <w:p>
            <w:pPr>
              <w:pStyle w:val="BodyText"/>
              <w:spacing w:after="0"/>
            </w:pPr>
            <w:r>
              <w:t>0.1.0-alpha.1</w:t>
            </w:r>
          </w:p>
        </w:tc>
        <w:tc>
          <w:tcPr>
            <w:tcW w:type="dxa" w:w="3580"/>
            <w:vAlign w:val="center"/>
          </w:tcPr>
          <w:p>
            <w:pPr>
              <w:pStyle w:val="BodyText"/>
              <w:spacing w:after="0"/>
            </w:pPr>
            <w:r>
              <w:t>Internal alpha only</w:t>
            </w:r>
          </w:p>
        </w:tc>
      </w:tr>
      <w:tr>
        <w:tc>
          <w:tcPr>
            <w:tcW w:type="dxa" w:w="2200"/>
            <w:vAlign w:val="center"/>
          </w:tcPr>
          <w:p>
            <w:pPr>
              <w:pStyle w:val="BodyText"/>
              <w:spacing w:after="0"/>
            </w:pPr>
            <w:r>
              <w:t>0.1.0-beta.1</w:t>
            </w:r>
          </w:p>
        </w:tc>
        <w:tc>
          <w:tcPr>
            <w:tcW w:type="dxa" w:w="3580"/>
            <w:vAlign w:val="center"/>
          </w:tcPr>
          <w:p>
            <w:pPr>
              <w:pStyle w:val="BodyText"/>
              <w:spacing w:after="0"/>
            </w:pPr>
            <w:r>
              <w:t>Planned paid beta</w:t>
            </w:r>
          </w:p>
        </w:tc>
      </w:tr>
    </w:tbl>
    <w:p/>
    <w:p>
      <w:pPr>
        <w:pStyle w:val="BodyText"/>
      </w:pPr>
      <w:r>
        <w:t>Do not publish a paid public release until a signed or trusted installer path, release notes, checksum policy, support inbox, and vulnerability intake process exist.</w:t>
      </w:r>
    </w:p>
    <w:p>
      <w:pPr>
        <w:pStyle w:val="Heading2"/>
      </w:pPr>
      <w:r>
        <w:t>Security Contact</w:t>
      </w:r>
    </w:p>
    <w:p>
      <w:pPr>
        <w:pStyle w:val="BodyText"/>
      </w:pPr>
      <w:r>
        <w:t>Security reports should go to `nyrasupport@gmail.com` after the user creates/confirms the inbox. Do not publish this address as a security contact until it is monitored.</w:t>
      </w:r>
    </w:p>
    <w:p>
      <w:pPr>
        <w:pStyle w:val="BodyText"/>
      </w:pPr>
      <w:r>
        <w:t>Reports should include:</w:t>
      </w:r>
    </w:p>
    <w:p>
      <w:pPr>
        <w:pStyle w:val="ListBullet"/>
      </w:pPr>
      <w:r>
        <w:t>App version.</w:t>
      </w:r>
    </w:p>
    <w:p>
      <w:pPr>
        <w:pStyle w:val="ListBullet"/>
      </w:pPr>
      <w:r>
        <w:t>Windows version.</w:t>
      </w:r>
    </w:p>
    <w:p>
      <w:pPr>
        <w:pStyle w:val="ListBullet"/>
      </w:pPr>
      <w:r>
        <w:t>Reproduction steps.</w:t>
      </w:r>
    </w:p>
    <w:p>
      <w:pPr>
        <w:pStyle w:val="ListBullet"/>
      </w:pPr>
      <w:r>
        <w:t>Impact.</w:t>
      </w:r>
    </w:p>
    <w:p>
      <w:pPr>
        <w:pStyle w:val="ListBullet"/>
      </w:pPr>
      <w:r>
        <w:t>Screenshots or logs with secrets removed.</w:t>
      </w:r>
    </w:p>
    <w:p>
      <w:pPr>
        <w:pStyle w:val="ListBullet"/>
      </w:pPr>
      <w:r>
        <w:t>Whether the issue affects billing, license activation, consent, local memory, screen/camera capture, or computer control.</w:t>
      </w:r>
    </w:p>
    <w:p>
      <w:pPr>
        <w:pStyle w:val="BodyText"/>
      </w:pPr>
      <w:r>
        <w:t>Do not send passwords, full card numbers, bank account numbers, raw API keys, full EIN/SSN, recovery codes, or unredacted private documents.</w:t>
      </w:r>
    </w:p>
    <w:p>
      <w:pPr>
        <w:pStyle w:val="Heading2"/>
      </w:pPr>
      <w:r>
        <w:t>Vulnerability Testing Rules</w:t>
      </w:r>
    </w:p>
    <w:p>
      <w:pPr>
        <w:pStyle w:val="BodyText"/>
      </w:pPr>
      <w:r>
        <w:t>Allowed after written approval:</w:t>
      </w:r>
    </w:p>
    <w:p>
      <w:pPr>
        <w:pStyle w:val="ListBullet"/>
      </w:pPr>
      <w:r>
        <w:t>Local testing against your own installed copy.</w:t>
      </w:r>
    </w:p>
    <w:p>
      <w:pPr>
        <w:pStyle w:val="ListBullet"/>
      </w:pPr>
      <w:r>
        <w:t>Static review of the app package.</w:t>
      </w:r>
    </w:p>
    <w:p>
      <w:pPr>
        <w:pStyle w:val="ListBullet"/>
      </w:pPr>
      <w:r>
        <w:t>Reports for consent bypass, entitlement bypass, IPC exposure, local memory export/delete failure, high-impact action bypass, or insecure logging.</w:t>
      </w:r>
    </w:p>
    <w:p>
      <w:pPr>
        <w:pStyle w:val="BodyText"/>
      </w:pPr>
      <w:r>
        <w:t>Not allowed without explicit written authorization:</w:t>
      </w:r>
    </w:p>
    <w:p>
      <w:pPr>
        <w:pStyle w:val="ListBullet"/>
      </w:pPr>
      <w:r>
        <w:t>Attacking Stripe, OpenAI, Anthropic, Google, xAI, Cloudflare, Microsoft, email providers, or other third-party systems.</w:t>
      </w:r>
    </w:p>
    <w:p>
      <w:pPr>
        <w:pStyle w:val="ListBullet"/>
      </w:pPr>
      <w:r>
        <w:t>Social engineering.</w:t>
      </w:r>
    </w:p>
    <w:p>
      <w:pPr>
        <w:pStyle w:val="ListBullet"/>
      </w:pPr>
      <w:r>
        <w:t>Spam, phishing, malware, persistence, credential theft, or destructive testing.</w:t>
      </w:r>
    </w:p>
    <w:p>
      <w:pPr>
        <w:pStyle w:val="ListBullet"/>
      </w:pPr>
      <w:r>
        <w:t>Public disclosure before NyrA has had a reasonable remediation period.</w:t>
      </w:r>
    </w:p>
    <w:p>
      <w:pPr>
        <w:pStyle w:val="ListBullet"/>
      </w:pPr>
      <w:r>
        <w:t>Accessing or modifying another user's device, files, account, subscription, or data.</w:t>
      </w:r>
    </w:p>
    <w:p>
      <w:pPr>
        <w:pStyle w:val="BodyText"/>
      </w:pPr>
      <w:r>
        <w:t>No bug bounty is promised unless a separate bounty program is published.</w:t>
      </w:r>
    </w:p>
    <w:p>
      <w:pPr>
        <w:pStyle w:val="Heading2"/>
      </w:pPr>
      <w:r>
        <w:t>Implemented Security Controls</w:t>
      </w:r>
    </w:p>
    <w:p>
      <w:pPr>
        <w:pStyle w:val="BodyText"/>
      </w:pPr>
      <w:r>
        <w:t>Current implemented controls include:</w:t>
      </w:r>
    </w:p>
    <w:p>
      <w:pPr>
        <w:pStyle w:val="ListBullet"/>
      </w:pPr>
      <w:r>
        <w:t>Paid feature entitlement gates for API swarm chat, voice, realtime, screen capture, computer control, file/application control, and developer terminal.</w:t>
      </w:r>
    </w:p>
    <w:p>
      <w:pPr>
        <w:pStyle w:val="ListBullet"/>
      </w:pPr>
      <w:r>
        <w:t>First-run and Settings consent gates for microphone, camera, screen, computer control, third-party AI, local memory, and passive context logs.</w:t>
      </w:r>
    </w:p>
    <w:p>
      <w:pPr>
        <w:pStyle w:val="ListBullet"/>
      </w:pPr>
      <w:r>
        <w:t>Main-process `NYRA_CONSENT_REQUIRED` enforcement.</w:t>
      </w:r>
    </w:p>
    <w:p>
      <w:pPr>
        <w:pStyle w:val="ListBullet"/>
      </w:pPr>
      <w:r>
        <w:t>Main-process `NYRA_HIGH_IMPACT_APPROVAL_REQUIRED` enforcement for payment, credential, account-changing, destructive, system-setting, installer/script, developer-terminal, and data-sharing risks.</w:t>
      </w:r>
    </w:p>
    <w:p>
      <w:pPr>
        <w:pStyle w:val="ListBullet"/>
      </w:pPr>
      <w:r>
        <w:t>Restricted preload IPC bridge with invoke/send/listen allowlists, store-key validation, payload validation, unsafe URL blocking, and sanitized renderer listener events.</w:t>
      </w:r>
    </w:p>
    <w:p>
      <w:pPr>
        <w:pStyle w:val="ListBullet"/>
      </w:pPr>
      <w:r>
        <w:t>Local privacy export and memory/log deletion controls.</w:t>
      </w:r>
    </w:p>
    <w:p>
      <w:pPr>
        <w:pStyle w:val="ListBullet"/>
      </w:pPr>
      <w:r>
        <w:t>Clean build script that runs release gates in a temp workspace outside the synced Google Drive checkout.</w:t>
      </w:r>
    </w:p>
    <w:p>
      <w:pPr>
        <w:pStyle w:val="ListBullet"/>
      </w:pPr>
      <w:r>
        <w:t>Dependency audit currently reports zero npm audit vulnerabilities in the clean build workspace.</w:t>
      </w:r>
    </w:p>
    <w:p>
      <w:pPr>
        <w:pStyle w:val="Heading2"/>
      </w:pPr>
      <w:r>
        <w:t>Required Before Paid Beta</w:t>
      </w:r>
    </w:p>
    <w:p>
      <w:pPr>
        <w:pStyle w:val="ListBullet"/>
      </w:pPr>
      <w:r>
        <w:t>Confirm support/security inbox.</w:t>
      </w:r>
    </w:p>
    <w:p>
      <w:pPr>
        <w:pStyle w:val="ListBullet"/>
      </w:pPr>
      <w:r>
        <w:t>Decide code signing or Microsoft Store path.</w:t>
      </w:r>
    </w:p>
    <w:p>
      <w:pPr>
        <w:pStyle w:val="ListBullet"/>
      </w:pPr>
      <w:r>
        <w:t>Add release checksum and authenticity instructions.</w:t>
      </w:r>
    </w:p>
    <w:p>
      <w:pPr>
        <w:pStyle w:val="ListBullet"/>
      </w:pPr>
      <w:r>
        <w:t>Add customer-facing diagnostics export with redaction.</w:t>
      </w:r>
    </w:p>
    <w:p>
      <w:pPr>
        <w:pStyle w:val="ListBullet"/>
      </w:pPr>
      <w:r>
        <w:t>Add crash/log retention policy.</w:t>
      </w:r>
    </w:p>
    <w:p>
      <w:pPr>
        <w:pStyle w:val="ListBullet"/>
      </w:pPr>
      <w:r>
        <w:t>Add published vulnerability intake page.</w:t>
      </w:r>
    </w:p>
    <w:p>
      <w:pPr>
        <w:pStyle w:val="ListBullet"/>
      </w:pPr>
      <w:r>
        <w:t>Confirm signed installer build and release notes.</w:t>
      </w:r>
    </w:p>
    <w:p>
      <w:pPr>
        <w:pStyle w:val="ListBullet"/>
      </w:pPr>
      <w:r>
        <w:t>Test live Stripe webhook and Customer Portal access.</w:t>
      </w:r>
    </w:p>
    <w:p>
      <w:pPr>
        <w:pStyle w:val="Heading2"/>
      </w:pPr>
      <w:r>
        <w:t>Incident Response Draft</w:t>
      </w:r>
    </w:p>
    <w:p>
      <w:pPr>
        <w:pStyle w:val="ListNumber"/>
      </w:pPr>
      <w:r>
        <w:t>Triage report and confirm affected version.</w:t>
      </w:r>
    </w:p>
    <w:p>
      <w:pPr>
        <w:pStyle w:val="ListNumber"/>
      </w:pPr>
      <w:r>
        <w:t>Preserve relevant logs without collecting extra sensitive data.</w:t>
      </w:r>
    </w:p>
    <w:p>
      <w:pPr>
        <w:pStyle w:val="ListNumber"/>
      </w:pPr>
      <w:r>
        <w:t>Reproduce in a clean test environment.</w:t>
      </w:r>
    </w:p>
    <w:p>
      <w:pPr>
        <w:pStyle w:val="ListNumber"/>
      </w:pPr>
      <w:r>
        <w:t>Classify severity: billing/license, consent/privacy, computer control, data exposure, remote execution, dependency, or support issue.</w:t>
      </w:r>
    </w:p>
    <w:p>
      <w:pPr>
        <w:pStyle w:val="ListNumber"/>
      </w:pPr>
      <w:r>
        <w:t>Patch, test, and update release gates.</w:t>
      </w:r>
    </w:p>
    <w:p>
      <w:pPr>
        <w:pStyle w:val="ListNumber"/>
      </w:pPr>
      <w:r>
        <w:t>Notify affected users when legally required or materially useful.</w:t>
      </w:r>
    </w:p>
    <w:p>
      <w:pPr>
        <w:pStyle w:val="ListNumber"/>
      </w:pPr>
      <w:r>
        <w:t>Update the command center, release notes, and support macros.</w:t>
      </w:r>
    </w:p>
    <w:p>
      <w:pPr>
        <w:pStyle w:val="Heading2"/>
      </w:pPr>
      <w:r>
        <w:t>Source References</w:t>
      </w:r>
    </w:p>
    <w:p>
      <w:pPr>
        <w:pStyle w:val="ListBullet"/>
      </w:pPr>
      <w:r>
        <w:t>FTC Privacy and Security: https://www.ftc.gov/business-guidance/privacy-security</w:t>
      </w:r>
    </w:p>
    <w:p>
      <w:pPr>
        <w:pStyle w:val="ListBullet"/>
      </w:pPr>
      <w:r>
        <w:t>FTC Protecting Personal Information: https://www.ftc.gov/business-guidance/resources/protecting-personal-information-guide-business</w:t>
      </w:r>
    </w:p>
    <w:p>
      <w:pPr>
        <w:pStyle w:val="ListBullet"/>
      </w:pPr>
      <w:r>
        <w:t>South Carolina Code Section 39-1-90: https://law.justia.com/codes/south-carolina/title-39/chapter-1/section-39-1-90/</w:t>
      </w:r>
    </w:p>
    <w:p>
      <w:r>
        <w:br w:type="page"/>
      </w:r>
    </w:p>
    <w:p>
      <w:pPr>
        <w:pStyle w:val="Heading1"/>
      </w:pPr>
      <w:r>
        <w:t>Appendix 7: NyrA AI Provider Data Flow Draft</w:t>
      </w:r>
    </w:p>
    <w:p>
      <w:pPr>
        <w:pStyle w:val="BodyText"/>
      </w:pPr>
      <w:r>
        <w:t>Status: Draft for attorney review</w:t>
      </w:r>
    </w:p>
    <w:p>
      <w:pPr>
        <w:pStyle w:val="BodyText"/>
      </w:pPr>
      <w:r>
        <w:t>Last updated: 2026-05-31</w:t>
      </w:r>
    </w:p>
    <w:p>
      <w:pPr>
        <w:pStyle w:val="BodyText"/>
      </w:pPr>
      <w:r>
        <w:t>Scope: NyrA Swarm Little Buddy desktop app only</w:t>
      </w:r>
    </w:p>
    <w:p>
      <w:pPr>
        <w:pStyle w:val="BodyText"/>
      </w:pPr>
      <w:r>
        <w:t>This draft is not legal advice. It is a provider-data handoff for the privacy policy, legal review packet, support playbook, and command-center launch gates. Provider policies change, so this file must be refreshed before public policy publication, app-store submission, or live paid checkout.</w:t>
      </w:r>
    </w:p>
    <w:p>
      <w:pPr>
        <w:pStyle w:val="Heading2"/>
      </w:pPr>
      <w:r>
        <w:t>Purpose</w:t>
      </w:r>
    </w:p>
    <w:p>
      <w:pPr>
        <w:pStyle w:val="BodyText"/>
      </w:pPr>
      <w:r>
        <w:t>NyrA can only feel useful if it can hear, read, reason, see selected screen or camera context, and route tasks to AI providers. That also means customer content can leave the local device when third-party AI processing is enabled. This document defines what may be sent, what must never be sent, what provider controls are required, and what still blocks paid launch.</w:t>
      </w:r>
    </w:p>
    <w:p>
      <w:pPr>
        <w:pStyle w:val="Heading2"/>
      </w:pPr>
      <w:r>
        <w:t>Data NyrA May Send To AI Providers</w:t>
      </w:r>
    </w:p>
    <w:p>
      <w:pPr>
        <w:pStyle w:val="BodyText"/>
      </w:pPr>
      <w:r>
        <w:t>Only send the minimum context needed for the requested task:</w:t>
      </w:r>
    </w:p>
    <w:tbl>
      <w:tblPr>
        <w:tblStyle w:val="TableGrid"/>
        <w:tblW w:type="auto" w:w="0"/>
        <w:jc w:val="center"/>
        <w:tblLook w:firstColumn="1" w:firstRow="1" w:lastColumn="0" w:lastRow="0" w:noHBand="0" w:noVBand="1" w:val="04A0"/>
      </w:tblPr>
      <w:tblGrid>
        <w:gridCol w:w="3120"/>
        <w:gridCol w:w="3120"/>
        <w:gridCol w:w="3120"/>
      </w:tblGrid>
      <w:tr>
        <w:tc>
          <w:tcPr>
            <w:tcW w:type="dxa" w:w="2200"/>
            <w:vAlign w:val="center"/>
            <w:shd w:fill="F2F4F7"/>
          </w:tcPr>
          <w:p>
            <w:pPr>
              <w:pStyle w:val="BodyText"/>
              <w:spacing w:after="0"/>
            </w:pPr>
            <w:r>
              <w:rPr>
                <w:b/>
              </w:rPr>
              <w:t>Data category</w:t>
            </w:r>
          </w:p>
        </w:tc>
        <w:tc>
          <w:tcPr>
            <w:tcW w:type="dxa" w:w="3580"/>
            <w:vAlign w:val="center"/>
            <w:shd w:fill="F2F4F7"/>
          </w:tcPr>
          <w:p>
            <w:pPr>
              <w:pStyle w:val="BodyText"/>
              <w:spacing w:after="0"/>
            </w:pPr>
            <w:r>
              <w:rPr>
                <w:b/>
              </w:rPr>
              <w:t>Examples</w:t>
            </w:r>
          </w:p>
        </w:tc>
        <w:tc>
          <w:tcPr>
            <w:tcW w:type="dxa" w:w="3580"/>
            <w:vAlign w:val="center"/>
            <w:shd w:fill="F2F4F7"/>
          </w:tcPr>
          <w:p>
            <w:pPr>
              <w:pStyle w:val="BodyText"/>
              <w:spacing w:after="0"/>
            </w:pPr>
            <w:r>
              <w:rPr>
                <w:b/>
              </w:rPr>
              <w:t>Default launch rule</w:t>
            </w:r>
          </w:p>
        </w:tc>
      </w:tr>
      <w:tr>
        <w:tc>
          <w:tcPr>
            <w:tcW w:type="dxa" w:w="2200"/>
            <w:vAlign w:val="center"/>
          </w:tcPr>
          <w:p>
            <w:pPr>
              <w:pStyle w:val="BodyText"/>
              <w:spacing w:after="0"/>
            </w:pPr>
            <w:r>
              <w:t>Chat and command text</w:t>
            </w:r>
          </w:p>
        </w:tc>
        <w:tc>
          <w:tcPr>
            <w:tcW w:type="dxa" w:w="3580"/>
            <w:vAlign w:val="center"/>
          </w:tcPr>
          <w:p>
            <w:pPr>
              <w:pStyle w:val="BodyText"/>
              <w:spacing w:after="0"/>
            </w:pPr>
            <w:r>
              <w:t>User prompt, task request, recent conversation context</w:t>
            </w:r>
          </w:p>
        </w:tc>
        <w:tc>
          <w:tcPr>
            <w:tcW w:type="dxa" w:w="3580"/>
            <w:vAlign w:val="center"/>
          </w:tcPr>
          <w:p>
            <w:pPr>
              <w:pStyle w:val="BodyText"/>
              <w:spacing w:after="0"/>
            </w:pPr>
            <w:r>
              <w:t>Allowed only after third-party AI consent is enabled</w:t>
            </w:r>
          </w:p>
        </w:tc>
      </w:tr>
      <w:tr>
        <w:tc>
          <w:tcPr>
            <w:tcW w:type="dxa" w:w="2200"/>
            <w:vAlign w:val="center"/>
          </w:tcPr>
          <w:p>
            <w:pPr>
              <w:pStyle w:val="BodyText"/>
              <w:spacing w:after="0"/>
            </w:pPr>
            <w:r>
              <w:t>Voice transcript</w:t>
            </w:r>
          </w:p>
        </w:tc>
        <w:tc>
          <w:tcPr>
            <w:tcW w:type="dxa" w:w="3580"/>
            <w:vAlign w:val="center"/>
          </w:tcPr>
          <w:p>
            <w:pPr>
              <w:pStyle w:val="BodyText"/>
              <w:spacing w:after="0"/>
            </w:pPr>
            <w:r>
              <w:t>Transcribed command or conversation text</w:t>
            </w:r>
          </w:p>
        </w:tc>
        <w:tc>
          <w:tcPr>
            <w:tcW w:type="dxa" w:w="3580"/>
            <w:vAlign w:val="center"/>
          </w:tcPr>
          <w:p>
            <w:pPr>
              <w:pStyle w:val="BodyText"/>
              <w:spacing w:after="0"/>
            </w:pPr>
            <w:r>
              <w:t>Prefer transcript over raw audio when audio is not needed</w:t>
            </w:r>
          </w:p>
        </w:tc>
      </w:tr>
      <w:tr>
        <w:tc>
          <w:tcPr>
            <w:tcW w:type="dxa" w:w="2200"/>
            <w:vAlign w:val="center"/>
          </w:tcPr>
          <w:p>
            <w:pPr>
              <w:pStyle w:val="BodyText"/>
              <w:spacing w:after="0"/>
            </w:pPr>
            <w:r>
              <w:t>Realtime voice audio</w:t>
            </w:r>
          </w:p>
        </w:tc>
        <w:tc>
          <w:tcPr>
            <w:tcW w:type="dxa" w:w="3580"/>
            <w:vAlign w:val="center"/>
          </w:tcPr>
          <w:p>
            <w:pPr>
              <w:pStyle w:val="BodyText"/>
              <w:spacing w:after="0"/>
            </w:pPr>
            <w:r>
              <w:t>Live voice stream for low-latency conversation</w:t>
            </w:r>
          </w:p>
        </w:tc>
        <w:tc>
          <w:tcPr>
            <w:tcW w:type="dxa" w:w="3580"/>
            <w:vAlign w:val="center"/>
          </w:tcPr>
          <w:p>
            <w:pPr>
              <w:pStyle w:val="BodyText"/>
              <w:spacing w:after="0"/>
            </w:pPr>
            <w:r>
              <w:t>Allowed only when microphone/live voice consent is enabled</w:t>
            </w:r>
          </w:p>
        </w:tc>
      </w:tr>
      <w:tr>
        <w:tc>
          <w:tcPr>
            <w:tcW w:type="dxa" w:w="2200"/>
            <w:vAlign w:val="center"/>
          </w:tcPr>
          <w:p>
            <w:pPr>
              <w:pStyle w:val="BodyText"/>
              <w:spacing w:after="0"/>
            </w:pPr>
            <w:r>
              <w:t>Screen context</w:t>
            </w:r>
          </w:p>
        </w:tc>
        <w:tc>
          <w:tcPr>
            <w:tcW w:type="dxa" w:w="3580"/>
            <w:vAlign w:val="center"/>
          </w:tcPr>
          <w:p>
            <w:pPr>
              <w:pStyle w:val="BodyText"/>
              <w:spacing w:after="0"/>
            </w:pPr>
            <w:r>
              <w:t>Screenshot, OCR text, visible app/window description</w:t>
            </w:r>
          </w:p>
        </w:tc>
        <w:tc>
          <w:tcPr>
            <w:tcW w:type="dxa" w:w="3580"/>
            <w:vAlign w:val="center"/>
          </w:tcPr>
          <w:p>
            <w:pPr>
              <w:pStyle w:val="BodyText"/>
              <w:spacing w:after="0"/>
            </w:pPr>
            <w:r>
              <w:t>Allowed only when screen-look consent is enabled</w:t>
            </w:r>
          </w:p>
        </w:tc>
      </w:tr>
      <w:tr>
        <w:tc>
          <w:tcPr>
            <w:tcW w:type="dxa" w:w="2200"/>
            <w:vAlign w:val="center"/>
          </w:tcPr>
          <w:p>
            <w:pPr>
              <w:pStyle w:val="BodyText"/>
              <w:spacing w:after="0"/>
            </w:pPr>
            <w:r>
              <w:t>Camera context</w:t>
            </w:r>
          </w:p>
        </w:tc>
        <w:tc>
          <w:tcPr>
            <w:tcW w:type="dxa" w:w="3580"/>
            <w:vAlign w:val="center"/>
          </w:tcPr>
          <w:p>
            <w:pPr>
              <w:pStyle w:val="BodyText"/>
              <w:spacing w:after="0"/>
            </w:pPr>
            <w:r>
              <w:t>Camera frame or generated description</w:t>
            </w:r>
          </w:p>
        </w:tc>
        <w:tc>
          <w:tcPr>
            <w:tcW w:type="dxa" w:w="3580"/>
            <w:vAlign w:val="center"/>
          </w:tcPr>
          <w:p>
            <w:pPr>
              <w:pStyle w:val="BodyText"/>
              <w:spacing w:after="0"/>
            </w:pPr>
            <w:r>
              <w:t>Allowed only when camera-look consent is enabled</w:t>
            </w:r>
          </w:p>
        </w:tc>
      </w:tr>
      <w:tr>
        <w:tc>
          <w:tcPr>
            <w:tcW w:type="dxa" w:w="2200"/>
            <w:vAlign w:val="center"/>
          </w:tcPr>
          <w:p>
            <w:pPr>
              <w:pStyle w:val="BodyText"/>
              <w:spacing w:after="0"/>
            </w:pPr>
            <w:r>
              <w:t>Local memory/context</w:t>
            </w:r>
          </w:p>
        </w:tc>
        <w:tc>
          <w:tcPr>
            <w:tcW w:type="dxa" w:w="3580"/>
            <w:vAlign w:val="center"/>
          </w:tcPr>
          <w:p>
            <w:pPr>
              <w:pStyle w:val="BodyText"/>
              <w:spacing w:after="0"/>
            </w:pPr>
            <w:r>
              <w:t>Saved preferences, project context, prior notes</w:t>
            </w:r>
          </w:p>
        </w:tc>
        <w:tc>
          <w:tcPr>
            <w:tcW w:type="dxa" w:w="3580"/>
            <w:vAlign w:val="center"/>
          </w:tcPr>
          <w:p>
            <w:pPr>
              <w:pStyle w:val="BodyText"/>
              <w:spacing w:after="0"/>
            </w:pPr>
            <w:r>
              <w:t>Allowed only when memory/passive-context consent is enabled and relevant</w:t>
            </w:r>
          </w:p>
        </w:tc>
      </w:tr>
      <w:tr>
        <w:tc>
          <w:tcPr>
            <w:tcW w:type="dxa" w:w="2200"/>
            <w:vAlign w:val="center"/>
          </w:tcPr>
          <w:p>
            <w:pPr>
              <w:pStyle w:val="BodyText"/>
              <w:spacing w:after="0"/>
            </w:pPr>
            <w:r>
              <w:t>Tool/action results</w:t>
            </w:r>
          </w:p>
        </w:tc>
        <w:tc>
          <w:tcPr>
            <w:tcW w:type="dxa" w:w="3580"/>
            <w:vAlign w:val="center"/>
          </w:tcPr>
          <w:p>
            <w:pPr>
              <w:pStyle w:val="BodyText"/>
              <w:spacing w:after="0"/>
            </w:pPr>
            <w:r>
              <w:t>File list excerpt, command result, browser page summary, click result</w:t>
            </w:r>
          </w:p>
        </w:tc>
        <w:tc>
          <w:tcPr>
            <w:tcW w:type="dxa" w:w="3580"/>
            <w:vAlign w:val="center"/>
          </w:tcPr>
          <w:p>
            <w:pPr>
              <w:pStyle w:val="BodyText"/>
              <w:spacing w:after="0"/>
            </w:pPr>
            <w:r>
              <w:t>Allowed only after tool-specific permission and redaction</w:t>
            </w:r>
          </w:p>
        </w:tc>
      </w:tr>
    </w:tbl>
    <w:p/>
    <w:p>
      <w:pPr>
        <w:pStyle w:val="Heading2"/>
      </w:pPr>
      <w:r>
        <w:t>Data NyrA Must Not Send By Default</w:t>
      </w:r>
    </w:p>
    <w:p>
      <w:pPr>
        <w:pStyle w:val="BodyText"/>
      </w:pPr>
      <w:r>
        <w:t>NyrA should block or redact these items unless a future legally reviewed, explicit, task-specific permission flow is added:</w:t>
      </w:r>
    </w:p>
    <w:p>
      <w:pPr>
        <w:pStyle w:val="ListBullet"/>
      </w:pPr>
      <w:r>
        <w:t>Raw API keys, Stripe secrets, webhook signing secrets, recovery codes, passwords, private keys, SSH keys, seed phrases, or session cookies.</w:t>
      </w:r>
    </w:p>
    <w:p>
      <w:pPr>
        <w:pStyle w:val="ListBullet"/>
      </w:pPr>
      <w:r>
        <w:t>Full credit card numbers, CVV codes, bank account numbers, government ID numbers, full EIN/SSN values, or tax IDs.</w:t>
      </w:r>
    </w:p>
    <w:p>
      <w:pPr>
        <w:pStyle w:val="ListBullet"/>
      </w:pPr>
      <w:r>
        <w:t>Broad filesystem dumps, whole mailboxes, whole browser histories, or unnecessary personal files.</w:t>
      </w:r>
    </w:p>
    <w:p>
      <w:pPr>
        <w:pStyle w:val="ListBullet"/>
      </w:pPr>
      <w:r>
        <w:t>Background microphone, camera, or screen data unrelated to a user-requested task.</w:t>
      </w:r>
    </w:p>
    <w:p>
      <w:pPr>
        <w:pStyle w:val="ListBullet"/>
      </w:pPr>
      <w:r>
        <w:t>Biometric voiceprint enrollment or identity-authentication data. Current NyrA language must stay limited to voice input, transcription, and context.</w:t>
      </w:r>
    </w:p>
    <w:p>
      <w:pPr>
        <w:pStyle w:val="ListBullet"/>
      </w:pPr>
      <w:r>
        <w:t>Customer support uploads unless the user intentionally attaches the file or confirms diagnostics export.</w:t>
      </w:r>
    </w:p>
    <w:p>
      <w:pPr>
        <w:pStyle w:val="Heading2"/>
      </w:pPr>
      <w:r>
        <w:t>Provider Flow Matrix</w:t>
      </w:r>
    </w:p>
    <w:tbl>
      <w:tblPr>
        <w:tblStyle w:val="TableGrid"/>
        <w:tblW w:type="auto" w:w="0"/>
        <w:jc w:val="center"/>
        <w:tblLook w:firstColumn="1" w:firstRow="1" w:lastColumn="0" w:lastRow="0" w:noHBand="0" w:noVBand="1" w:val="04A0"/>
      </w:tblPr>
      <w:tblGrid>
        <w:gridCol w:w="1872"/>
        <w:gridCol w:w="1872"/>
        <w:gridCol w:w="1872"/>
        <w:gridCol w:w="1872"/>
        <w:gridCol w:w="1872"/>
      </w:tblGrid>
      <w:tr>
        <w:tc>
          <w:tcPr>
            <w:tcW w:type="dxa" w:w="2200"/>
            <w:vAlign w:val="center"/>
            <w:shd w:fill="F2F4F7"/>
          </w:tcPr>
          <w:p>
            <w:pPr>
              <w:pStyle w:val="BodyText"/>
              <w:spacing w:after="0"/>
            </w:pPr>
            <w:r>
              <w:rPr>
                <w:b/>
              </w:rPr>
              <w:t>Provider</w:t>
            </w:r>
          </w:p>
        </w:tc>
        <w:tc>
          <w:tcPr>
            <w:tcW w:type="dxa" w:w="3580"/>
            <w:vAlign w:val="center"/>
            <w:shd w:fill="F2F4F7"/>
          </w:tcPr>
          <w:p>
            <w:pPr>
              <w:pStyle w:val="BodyText"/>
              <w:spacing w:after="0"/>
            </w:pPr>
            <w:r>
              <w:rPr>
                <w:b/>
              </w:rPr>
              <w:t>Planned NyrA use</w:t>
            </w:r>
          </w:p>
        </w:tc>
        <w:tc>
          <w:tcPr>
            <w:tcW w:type="dxa" w:w="3580"/>
            <w:vAlign w:val="center"/>
            <w:shd w:fill="F2F4F7"/>
          </w:tcPr>
          <w:p>
            <w:pPr>
              <w:pStyle w:val="BodyText"/>
              <w:spacing w:after="0"/>
            </w:pPr>
            <w:r>
              <w:rPr>
                <w:b/>
              </w:rPr>
              <w:t>Content that may be sent</w:t>
            </w:r>
          </w:p>
        </w:tc>
        <w:tc>
          <w:tcPr>
            <w:tcW w:type="dxa" w:w="3580"/>
            <w:vAlign w:val="center"/>
            <w:shd w:fill="F2F4F7"/>
          </w:tcPr>
          <w:p>
            <w:pPr>
              <w:pStyle w:val="BodyText"/>
              <w:spacing w:after="0"/>
            </w:pPr>
            <w:r>
              <w:rPr>
                <w:b/>
              </w:rPr>
              <w:t>Current official data posture checked 2026-05-31</w:t>
            </w:r>
          </w:p>
        </w:tc>
        <w:tc>
          <w:tcPr>
            <w:tcW w:type="dxa" w:w="3580"/>
            <w:vAlign w:val="center"/>
            <w:shd w:fill="F2F4F7"/>
          </w:tcPr>
          <w:p>
            <w:pPr>
              <w:pStyle w:val="BodyText"/>
              <w:spacing w:after="0"/>
            </w:pPr>
            <w:r>
              <w:rPr>
                <w:b/>
              </w:rPr>
              <w:t>NyrA launch control</w:t>
            </w:r>
          </w:p>
        </w:tc>
      </w:tr>
      <w:tr>
        <w:tc>
          <w:tcPr>
            <w:tcW w:type="dxa" w:w="2200"/>
            <w:vAlign w:val="center"/>
          </w:tcPr>
          <w:p>
            <w:pPr>
              <w:pStyle w:val="BodyText"/>
              <w:spacing w:after="0"/>
            </w:pPr>
            <w:r>
              <w:t>OpenAI</w:t>
            </w:r>
          </w:p>
        </w:tc>
        <w:tc>
          <w:tcPr>
            <w:tcW w:type="dxa" w:w="3580"/>
            <w:vAlign w:val="center"/>
          </w:tcPr>
          <w:p>
            <w:pPr>
              <w:pStyle w:val="BodyText"/>
              <w:spacing w:after="0"/>
            </w:pPr>
            <w:r>
              <w:t>Primary chat, voice, transcription, text-to-speech, vision, realtime, and possible computer-use reasoning</w:t>
            </w:r>
          </w:p>
        </w:tc>
        <w:tc>
          <w:tcPr>
            <w:tcW w:type="dxa" w:w="3580"/>
            <w:vAlign w:val="center"/>
          </w:tcPr>
          <w:p>
            <w:pPr>
              <w:pStyle w:val="BodyText"/>
              <w:spacing w:after="0"/>
            </w:pPr>
            <w:r>
              <w:t>Prompts, responses, audio, transcripts, screenshots/camera frames, tool context</w:t>
            </w:r>
          </w:p>
        </w:tc>
        <w:tc>
          <w:tcPr>
            <w:tcW w:type="dxa" w:w="3580"/>
            <w:vAlign w:val="center"/>
          </w:tcPr>
          <w:p>
            <w:pPr>
              <w:pStyle w:val="BodyText"/>
              <w:spacing w:after="0"/>
            </w:pPr>
            <w:r>
              <w:t>OpenAI states API data is not used to train by default unless the customer opts in. Abuse monitoring logs are generally retained up to 30 days. Responses and other endpoints can have endpoint-specific application-state behavior, so NyrA must explicitly use `store:false` and avoid stateful provider features unless documented.</w:t>
            </w:r>
          </w:p>
        </w:tc>
        <w:tc>
          <w:tcPr>
            <w:tcW w:type="dxa" w:w="3580"/>
            <w:vAlign w:val="center"/>
          </w:tcPr>
          <w:p>
            <w:pPr>
              <w:pStyle w:val="BodyText"/>
              <w:spacing w:after="0"/>
            </w:pPr>
            <w:r>
              <w:t>Keep `store:false` on Responses calls, keep `NYRA_CONSENT_REQUIRED`, document endpoint choices, and review any feature that stores files, conversations, threads, or background responses</w:t>
            </w:r>
          </w:p>
        </w:tc>
      </w:tr>
      <w:tr>
        <w:tc>
          <w:tcPr>
            <w:tcW w:type="dxa" w:w="2200"/>
            <w:vAlign w:val="center"/>
          </w:tcPr>
          <w:p>
            <w:pPr>
              <w:pStyle w:val="BodyText"/>
              <w:spacing w:after="0"/>
            </w:pPr>
            <w:r>
              <w:t>Anthropic</w:t>
            </w:r>
          </w:p>
        </w:tc>
        <w:tc>
          <w:tcPr>
            <w:tcW w:type="dxa" w:w="3580"/>
            <w:vAlign w:val="center"/>
          </w:tcPr>
          <w:p>
            <w:pPr>
              <w:pStyle w:val="BodyText"/>
              <w:spacing w:after="0"/>
            </w:pPr>
            <w:r>
              <w:t>Optional Claude/swarm reasoning route</w:t>
            </w:r>
          </w:p>
        </w:tc>
        <w:tc>
          <w:tcPr>
            <w:tcW w:type="dxa" w:w="3580"/>
            <w:vAlign w:val="center"/>
          </w:tcPr>
          <w:p>
            <w:pPr>
              <w:pStyle w:val="BodyText"/>
              <w:spacing w:after="0"/>
            </w:pPr>
            <w:r>
              <w:t>Prompts, responses, selected task context, optional screen text summaries if enabled</w:t>
            </w:r>
          </w:p>
        </w:tc>
        <w:tc>
          <w:tcPr>
            <w:tcW w:type="dxa" w:w="3580"/>
            <w:vAlign w:val="center"/>
          </w:tcPr>
          <w:p>
            <w:pPr>
              <w:pStyle w:val="BodyText"/>
              <w:spacing w:after="0"/>
            </w:pPr>
            <w:r>
              <w:t>Anthropic says commercial API inputs and outputs are automatically deleted within 30 days by default, except longer-retention services under customer control, usage-policy enforcement, legal requirements, or a separate zero-data-retention agreement. Anthropic also states commercial customer data is not used for model training unless the customer opts into the Development Partner Program.</w:t>
            </w:r>
          </w:p>
        </w:tc>
        <w:tc>
          <w:tcPr>
            <w:tcW w:type="dxa" w:w="3580"/>
            <w:vAlign w:val="center"/>
          </w:tcPr>
          <w:p>
            <w:pPr>
              <w:pStyle w:val="BodyText"/>
              <w:spacing w:after="0"/>
            </w:pPr>
            <w:r>
              <w:t>Do not enable by default until provider key, consent text, usage cap, and privacy copy are confirmed</w:t>
            </w:r>
          </w:p>
        </w:tc>
      </w:tr>
      <w:tr>
        <w:tc>
          <w:tcPr>
            <w:tcW w:type="dxa" w:w="2200"/>
            <w:vAlign w:val="center"/>
          </w:tcPr>
          <w:p>
            <w:pPr>
              <w:pStyle w:val="BodyText"/>
              <w:spacing w:after="0"/>
            </w:pPr>
            <w:r>
              <w:t>Google Gemini</w:t>
            </w:r>
          </w:p>
        </w:tc>
        <w:tc>
          <w:tcPr>
            <w:tcW w:type="dxa" w:w="3580"/>
            <w:vAlign w:val="center"/>
          </w:tcPr>
          <w:p>
            <w:pPr>
              <w:pStyle w:val="BodyText"/>
              <w:spacing w:after="0"/>
            </w:pPr>
            <w:r>
              <w:t>Optional Gemini/swarm reasoning route</w:t>
            </w:r>
          </w:p>
        </w:tc>
        <w:tc>
          <w:tcPr>
            <w:tcW w:type="dxa" w:w="3580"/>
            <w:vAlign w:val="center"/>
          </w:tcPr>
          <w:p>
            <w:pPr>
              <w:pStyle w:val="BodyText"/>
              <w:spacing w:after="0"/>
            </w:pPr>
            <w:r>
              <w:t>Prompts, responses, selected task context, possible image/screen inputs if enabled</w:t>
            </w:r>
          </w:p>
        </w:tc>
        <w:tc>
          <w:tcPr>
            <w:tcW w:type="dxa" w:w="3580"/>
            <w:vAlign w:val="center"/>
          </w:tcPr>
          <w:p>
            <w:pPr>
              <w:pStyle w:val="BodyText"/>
              <w:spacing w:after="0"/>
            </w:pPr>
            <w:r>
              <w:t>Google Gemini API docs state logs for billing-enabled projects expire after 55 days by default, prompts and responses in logs are not used for product improvement by default, and dataset/feedback sharing is opt-in. Shared datasets may be used for product/model improvement and should not include sensitive or confidential information.</w:t>
            </w:r>
          </w:p>
        </w:tc>
        <w:tc>
          <w:tcPr>
            <w:tcW w:type="dxa" w:w="3580"/>
            <w:vAlign w:val="center"/>
          </w:tcPr>
          <w:p>
            <w:pPr>
              <w:pStyle w:val="BodyText"/>
              <w:spacing w:after="0"/>
            </w:pPr>
            <w:r>
              <w:t>Keep logging/data sharing off unless intentionally enabled by the account owner; do not route sensitive data to shared datasets</w:t>
            </w:r>
          </w:p>
        </w:tc>
      </w:tr>
      <w:tr>
        <w:tc>
          <w:tcPr>
            <w:tcW w:type="dxa" w:w="2200"/>
            <w:vAlign w:val="center"/>
          </w:tcPr>
          <w:p>
            <w:pPr>
              <w:pStyle w:val="BodyText"/>
              <w:spacing w:after="0"/>
            </w:pPr>
            <w:r>
              <w:t>xAI/Grok</w:t>
            </w:r>
          </w:p>
        </w:tc>
        <w:tc>
          <w:tcPr>
            <w:tcW w:type="dxa" w:w="3580"/>
            <w:vAlign w:val="center"/>
          </w:tcPr>
          <w:p>
            <w:pPr>
              <w:pStyle w:val="BodyText"/>
              <w:spacing w:after="0"/>
            </w:pPr>
            <w:r>
              <w:t>Optional Grok/swarm reasoning route</w:t>
            </w:r>
          </w:p>
        </w:tc>
        <w:tc>
          <w:tcPr>
            <w:tcW w:type="dxa" w:w="3580"/>
            <w:vAlign w:val="center"/>
          </w:tcPr>
          <w:p>
            <w:pPr>
              <w:pStyle w:val="BodyText"/>
              <w:spacing w:after="0"/>
            </w:pPr>
            <w:r>
              <w:t>Prompts, responses, selected task context, possible tool summaries</w:t>
            </w:r>
          </w:p>
        </w:tc>
        <w:tc>
          <w:tcPr>
            <w:tcW w:type="dxa" w:w="3580"/>
            <w:vAlign w:val="center"/>
          </w:tcPr>
          <w:p>
            <w:pPr>
              <w:pStyle w:val="BodyText"/>
              <w:spacing w:after="0"/>
            </w:pPr>
            <w:r>
              <w:t>xAI API security docs state xAI does not train on customer API inputs or outputs without explicit permission, stores API requests and responses temporarily for 30 days for abuse/misuse audit, and offers enterprise Zero Data Retention with response-header confirmation.</w:t>
            </w:r>
          </w:p>
        </w:tc>
        <w:tc>
          <w:tcPr>
            <w:tcW w:type="dxa" w:w="3580"/>
            <w:vAlign w:val="center"/>
          </w:tcPr>
          <w:p>
            <w:pPr>
              <w:pStyle w:val="BodyText"/>
              <w:spacing w:after="0"/>
            </w:pPr>
            <w:r>
              <w:t>Do not enable by default until provider key, consent text, usage cap, and privacy copy are confirmed; record whether ZDR is active if enterprise account is later used</w:t>
            </w:r>
          </w:p>
        </w:tc>
      </w:tr>
    </w:tbl>
    <w:p/>
    <w:p>
      <w:pPr>
        <w:pStyle w:val="Heading2"/>
      </w:pPr>
      <w:r>
        <w:t>App Controls Required Before Paid Beta</w:t>
      </w:r>
    </w:p>
    <w:p>
      <w:pPr>
        <w:pStyle w:val="ListBullet"/>
      </w:pPr>
      <w:r>
        <w:t>First-run and Settings consent must clearly separate microphone, camera, screen, third-party AI, local memory, passive context logs, and computer control.</w:t>
      </w:r>
    </w:p>
    <w:p>
      <w:pPr>
        <w:pStyle w:val="ListBullet"/>
      </w:pPr>
      <w:r>
        <w:t>Provider calls must fail closed with `NYRA_CONSENT_REQUIRED` when third-party AI consent is off.</w:t>
      </w:r>
    </w:p>
    <w:p>
      <w:pPr>
        <w:pStyle w:val="ListBullet"/>
      </w:pPr>
      <w:r>
        <w:t>High-impact actions must continue to require `NYRA_HIGH_IMPACT_APPROVAL_REQUIRED`.</w:t>
      </w:r>
    </w:p>
    <w:p>
      <w:pPr>
        <w:pStyle w:val="ListBullet"/>
      </w:pPr>
      <w:r>
        <w:t>Paid-provider features must continue to require an active license or return `NYRA_PRO_REQUIRED`.</w:t>
      </w:r>
    </w:p>
    <w:p>
      <w:pPr>
        <w:pStyle w:val="ListBullet"/>
      </w:pPr>
      <w:r>
        <w:t>Support diagnostics must redact provider keys, billing secrets, tokens, and personal identifiers.</w:t>
      </w:r>
    </w:p>
    <w:p>
      <w:pPr>
        <w:pStyle w:val="ListBullet"/>
      </w:pPr>
      <w:r>
        <w:t>Command-center uploads must stay behind the private dashboard/cloud access model and must not accept raw secrets.</w:t>
      </w:r>
    </w:p>
    <w:p>
      <w:pPr>
        <w:pStyle w:val="ListBullet"/>
      </w:pPr>
      <w:r>
        <w:t>The privacy policy, support playbook, launch site, and checkout pages must link to the public provider-data explanation before live payments.</w:t>
      </w:r>
    </w:p>
    <w:p>
      <w:pPr>
        <w:pStyle w:val="Heading2"/>
      </w:pPr>
      <w:r>
        <w:t>BYOK And Hosted-AI Policy</w:t>
      </w:r>
    </w:p>
    <w:p>
      <w:pPr>
        <w:pStyle w:val="BodyText"/>
      </w:pPr>
      <w:r>
        <w:t>BYOK is planned later, not for first paid launch. Until BYOK exists:</w:t>
      </w:r>
    </w:p>
    <w:p>
      <w:pPr>
        <w:pStyle w:val="ListBullet"/>
      </w:pPr>
      <w:r>
        <w:t>NyrA is responsible for hosted provider costs and must enforce the hosted AI cap chosen in the dashboard.</w:t>
      </w:r>
    </w:p>
    <w:p>
      <w:pPr>
        <w:pStyle w:val="ListBullet"/>
      </w:pPr>
      <w:r>
        <w:t>Customers must be told that selected content may be processed by third-party AI providers when they enable those features.</w:t>
      </w:r>
    </w:p>
    <w:p>
      <w:pPr>
        <w:pStyle w:val="ListBullet"/>
      </w:pPr>
      <w:r>
        <w:t>Provider keys must live in a secret store or cloud secret manager, not repo files, command-center uploads, or desktop renderer state.</w:t>
      </w:r>
    </w:p>
    <w:p>
      <w:pPr>
        <w:pStyle w:val="ListBullet"/>
      </w:pPr>
      <w:r>
        <w:t>If BYOK is later added, the app needs a separate key-storage policy, customer-facing warning, key testing flow, revocation flow, and support boundary.</w:t>
      </w:r>
    </w:p>
    <w:p>
      <w:pPr>
        <w:pStyle w:val="Heading2"/>
      </w:pPr>
      <w:r>
        <w:t>Dashboard Handoffs</w:t>
      </w:r>
    </w:p>
    <w:p>
      <w:pPr>
        <w:pStyle w:val="BodyText"/>
      </w:pPr>
      <w:r>
        <w:t>Track these in the command center before live launch:</w:t>
      </w:r>
    </w:p>
    <w:tbl>
      <w:tblPr>
        <w:tblStyle w:val="TableGrid"/>
        <w:tblW w:type="auto" w:w="0"/>
        <w:jc w:val="center"/>
        <w:tblLook w:firstColumn="1" w:firstRow="1" w:lastColumn="0" w:lastRow="0" w:noHBand="0" w:noVBand="1" w:val="04A0"/>
      </w:tblPr>
      <w:tblGrid>
        <w:gridCol w:w="3120"/>
        <w:gridCol w:w="3120"/>
        <w:gridCol w:w="3120"/>
      </w:tblGrid>
      <w:tr>
        <w:tc>
          <w:tcPr>
            <w:tcW w:type="dxa" w:w="2200"/>
            <w:vAlign w:val="center"/>
            <w:shd w:fill="F2F4F7"/>
          </w:tcPr>
          <w:p>
            <w:pPr>
              <w:pStyle w:val="BodyText"/>
              <w:spacing w:after="0"/>
            </w:pPr>
            <w:r>
              <w:rPr>
                <w:b/>
              </w:rPr>
              <w:t>Handoff</w:t>
            </w:r>
          </w:p>
        </w:tc>
        <w:tc>
          <w:tcPr>
            <w:tcW w:type="dxa" w:w="3580"/>
            <w:vAlign w:val="center"/>
            <w:shd w:fill="F2F4F7"/>
          </w:tcPr>
          <w:p>
            <w:pPr>
              <w:pStyle w:val="BodyText"/>
              <w:spacing w:after="0"/>
            </w:pPr>
            <w:r>
              <w:rPr>
                <w:b/>
              </w:rPr>
              <w:t>Owner</w:t>
            </w:r>
          </w:p>
        </w:tc>
        <w:tc>
          <w:tcPr>
            <w:tcW w:type="dxa" w:w="3580"/>
            <w:vAlign w:val="center"/>
            <w:shd w:fill="F2F4F7"/>
          </w:tcPr>
          <w:p>
            <w:pPr>
              <w:pStyle w:val="BodyText"/>
              <w:spacing w:after="0"/>
            </w:pPr>
            <w:r>
              <w:rPr>
                <w:b/>
              </w:rPr>
              <w:t>Where it belongs</w:t>
            </w:r>
          </w:p>
        </w:tc>
      </w:tr>
      <w:tr>
        <w:tc>
          <w:tcPr>
            <w:tcW w:type="dxa" w:w="2200"/>
            <w:vAlign w:val="center"/>
          </w:tcPr>
          <w:p>
            <w:pPr>
              <w:pStyle w:val="BodyText"/>
              <w:spacing w:after="0"/>
            </w:pPr>
            <w:r>
              <w:t>Final provider list for paid beta</w:t>
            </w:r>
          </w:p>
        </w:tc>
        <w:tc>
          <w:tcPr>
            <w:tcW w:type="dxa" w:w="3580"/>
            <w:vAlign w:val="center"/>
          </w:tcPr>
          <w:p>
            <w:pPr>
              <w:pStyle w:val="BodyText"/>
              <w:spacing w:after="0"/>
            </w:pPr>
            <w:r>
              <w:t>User + Codex</w:t>
            </w:r>
          </w:p>
        </w:tc>
        <w:tc>
          <w:tcPr>
            <w:tcW w:type="dxa" w:w="3580"/>
            <w:vAlign w:val="center"/>
          </w:tcPr>
          <w:p>
            <w:pPr>
              <w:pStyle w:val="BodyText"/>
              <w:spacing w:after="0"/>
            </w:pPr>
            <w:r>
              <w:t>Launch Setup / Policies</w:t>
            </w:r>
          </w:p>
        </w:tc>
      </w:tr>
      <w:tr>
        <w:tc>
          <w:tcPr>
            <w:tcW w:type="dxa" w:w="2200"/>
            <w:vAlign w:val="center"/>
          </w:tcPr>
          <w:p>
            <w:pPr>
              <w:pStyle w:val="BodyText"/>
              <w:spacing w:after="0"/>
            </w:pPr>
            <w:r>
              <w:t>Hosted AI cap</w:t>
            </w:r>
          </w:p>
        </w:tc>
        <w:tc>
          <w:tcPr>
            <w:tcW w:type="dxa" w:w="3580"/>
            <w:vAlign w:val="center"/>
          </w:tcPr>
          <w:p>
            <w:pPr>
              <w:pStyle w:val="BodyText"/>
              <w:spacing w:after="0"/>
            </w:pPr>
            <w:r>
              <w:t>User</w:t>
            </w:r>
          </w:p>
        </w:tc>
        <w:tc>
          <w:tcPr>
            <w:tcW w:type="dxa" w:w="3580"/>
            <w:vAlign w:val="center"/>
          </w:tcPr>
          <w:p>
            <w:pPr>
              <w:pStyle w:val="BodyText"/>
              <w:spacing w:after="0"/>
            </w:pPr>
            <w:r>
              <w:t>Pricing Model / Launch Setup</w:t>
            </w:r>
          </w:p>
        </w:tc>
      </w:tr>
      <w:tr>
        <w:tc>
          <w:tcPr>
            <w:tcW w:type="dxa" w:w="2200"/>
            <w:vAlign w:val="center"/>
          </w:tcPr>
          <w:p>
            <w:pPr>
              <w:pStyle w:val="BodyText"/>
              <w:spacing w:after="0"/>
            </w:pPr>
            <w:r>
              <w:t>Provider account and secret-store readiness</w:t>
            </w:r>
          </w:p>
        </w:tc>
        <w:tc>
          <w:tcPr>
            <w:tcW w:type="dxa" w:w="3580"/>
            <w:vAlign w:val="center"/>
          </w:tcPr>
          <w:p>
            <w:pPr>
              <w:pStyle w:val="BodyText"/>
              <w:spacing w:after="0"/>
            </w:pPr>
            <w:r>
              <w:t>User</w:t>
            </w:r>
          </w:p>
        </w:tc>
        <w:tc>
          <w:tcPr>
            <w:tcW w:type="dxa" w:w="3580"/>
            <w:vAlign w:val="center"/>
          </w:tcPr>
          <w:p>
            <w:pPr>
              <w:pStyle w:val="BodyText"/>
              <w:spacing w:after="0"/>
            </w:pPr>
            <w:r>
              <w:t>Handoffs / Cloud</w:t>
            </w:r>
          </w:p>
        </w:tc>
      </w:tr>
      <w:tr>
        <w:tc>
          <w:tcPr>
            <w:tcW w:type="dxa" w:w="2200"/>
            <w:vAlign w:val="center"/>
          </w:tcPr>
          <w:p>
            <w:pPr>
              <w:pStyle w:val="BodyText"/>
              <w:spacing w:after="0"/>
            </w:pPr>
            <w:r>
              <w:t>Public privacy and provider data URLs</w:t>
            </w:r>
          </w:p>
        </w:tc>
        <w:tc>
          <w:tcPr>
            <w:tcW w:type="dxa" w:w="3580"/>
            <w:vAlign w:val="center"/>
          </w:tcPr>
          <w:p>
            <w:pPr>
              <w:pStyle w:val="BodyText"/>
              <w:spacing w:after="0"/>
            </w:pPr>
            <w:r>
              <w:t>User + Codex</w:t>
            </w:r>
          </w:p>
        </w:tc>
        <w:tc>
          <w:tcPr>
            <w:tcW w:type="dxa" w:w="3580"/>
            <w:vAlign w:val="center"/>
          </w:tcPr>
          <w:p>
            <w:pPr>
              <w:pStyle w:val="BodyText"/>
              <w:spacing w:after="0"/>
            </w:pPr>
            <w:r>
              <w:t>Policies / Launch Site</w:t>
            </w:r>
          </w:p>
        </w:tc>
      </w:tr>
      <w:tr>
        <w:tc>
          <w:tcPr>
            <w:tcW w:type="dxa" w:w="2200"/>
            <w:vAlign w:val="center"/>
          </w:tcPr>
          <w:p>
            <w:pPr>
              <w:pStyle w:val="BodyText"/>
              <w:spacing w:after="0"/>
            </w:pPr>
            <w:r>
              <w:t>Attorney-reviewed provider/subprocessor language</w:t>
            </w:r>
          </w:p>
        </w:tc>
        <w:tc>
          <w:tcPr>
            <w:tcW w:type="dxa" w:w="3580"/>
            <w:vAlign w:val="center"/>
          </w:tcPr>
          <w:p>
            <w:pPr>
              <w:pStyle w:val="BodyText"/>
              <w:spacing w:after="0"/>
            </w:pPr>
            <w:r>
              <w:t>User</w:t>
            </w:r>
          </w:p>
        </w:tc>
        <w:tc>
          <w:tcPr>
            <w:tcW w:type="dxa" w:w="3580"/>
            <w:vAlign w:val="center"/>
          </w:tcPr>
          <w:p>
            <w:pPr>
              <w:pStyle w:val="BodyText"/>
              <w:spacing w:after="0"/>
            </w:pPr>
            <w:r>
              <w:t>Policies / Legal Review Packet</w:t>
            </w:r>
          </w:p>
        </w:tc>
      </w:tr>
      <w:tr>
        <w:tc>
          <w:tcPr>
            <w:tcW w:type="dxa" w:w="2200"/>
            <w:vAlign w:val="center"/>
          </w:tcPr>
          <w:p>
            <w:pPr>
              <w:pStyle w:val="BodyText"/>
              <w:spacing w:after="0"/>
            </w:pPr>
            <w:r>
              <w:t>Data-retention refresh date</w:t>
            </w:r>
          </w:p>
        </w:tc>
        <w:tc>
          <w:tcPr>
            <w:tcW w:type="dxa" w:w="3580"/>
            <w:vAlign w:val="center"/>
          </w:tcPr>
          <w:p>
            <w:pPr>
              <w:pStyle w:val="BodyText"/>
              <w:spacing w:after="0"/>
            </w:pPr>
            <w:r>
              <w:t>Codex</w:t>
            </w:r>
          </w:p>
        </w:tc>
        <w:tc>
          <w:tcPr>
            <w:tcW w:type="dxa" w:w="3580"/>
            <w:vAlign w:val="center"/>
          </w:tcPr>
          <w:p>
            <w:pPr>
              <w:pStyle w:val="BodyText"/>
              <w:spacing w:after="0"/>
            </w:pPr>
            <w:r>
              <w:t>Daily Agents / Team Updates</w:t>
            </w:r>
          </w:p>
        </w:tc>
      </w:tr>
    </w:tbl>
    <w:p/>
    <w:p>
      <w:pPr>
        <w:pStyle w:val="Heading2"/>
      </w:pPr>
      <w:r>
        <w:t>Open Launch Blockers</w:t>
      </w:r>
    </w:p>
    <w:p>
      <w:pPr>
        <w:pStyle w:val="ListBullet"/>
      </w:pPr>
      <w:r>
        <w:t>Attorney review is required before provider/subprocessor language is published.</w:t>
      </w:r>
    </w:p>
    <w:p>
      <w:pPr>
        <w:pStyle w:val="ListBullet"/>
      </w:pPr>
      <w:r>
        <w:t>Public policy URLs and support inbox do not exist yet.</w:t>
      </w:r>
    </w:p>
    <w:p>
      <w:pPr>
        <w:pStyle w:val="ListBullet"/>
      </w:pPr>
      <w:r>
        <w:t>Final provider stack and hosted AI cap are not approved.</w:t>
      </w:r>
    </w:p>
    <w:p>
      <w:pPr>
        <w:pStyle w:val="ListBullet"/>
      </w:pPr>
      <w:r>
        <w:t>Cloud dashboard access, Worker URLs, D1/R2 resources, and secret storage are not live.</w:t>
      </w:r>
    </w:p>
    <w:p>
      <w:pPr>
        <w:pStyle w:val="ListBullet"/>
      </w:pPr>
      <w:r>
        <w:t>Live Stripe checkout must not be exposed until provider-data wording matches actual app behavior.</w:t>
      </w:r>
    </w:p>
    <w:p>
      <w:pPr>
        <w:pStyle w:val="Heading2"/>
      </w:pPr>
      <w:r>
        <w:t>Source References</w:t>
      </w:r>
    </w:p>
    <w:p>
      <w:pPr>
        <w:pStyle w:val="ListBullet"/>
      </w:pPr>
      <w:r>
        <w:t>OpenAI Data Controls: https://platform.openai.com/docs/guides/your-data</w:t>
      </w:r>
    </w:p>
    <w:p>
      <w:pPr>
        <w:pStyle w:val="ListBullet"/>
      </w:pPr>
      <w:r>
        <w:t>Anthropic Organization Data Retention: https://privacy.claude.com/en/articles/7996866-how-long-do-you-store-my-organization-s-data</w:t>
      </w:r>
    </w:p>
    <w:p>
      <w:pPr>
        <w:pStyle w:val="ListBullet"/>
      </w:pPr>
      <w:r>
        <w:t>Anthropic Processor/Controller FAQ: https://support.claude.com/en/articles/9267385-does-anthropic-act-as-a-data-processor-or-controller</w:t>
      </w:r>
    </w:p>
    <w:p>
      <w:pPr>
        <w:pStyle w:val="ListBullet"/>
      </w:pPr>
      <w:r>
        <w:t>Google Gemini API Data Logging and Sharing: https://ai.google.dev/gemini-api/docs/logs-policy</w:t>
      </w:r>
    </w:p>
    <w:p>
      <w:pPr>
        <w:pStyle w:val="ListBullet"/>
      </w:pPr>
      <w:r>
        <w:t>xAI API Security FAQ: https://docs.x.ai/developers/faq/security</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8"/>
      </w:rPr>
      <w:t>NyrA Swarm Little Buddy - Draft for review - Not legal advice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2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00" w:after="12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12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64" w:lineRule="auto"/>
    </w:pPr>
    <w:rPr>
      <w:rFonts w:ascii="Calibri" w:hAnsi="Calibri"/>
      <w:sz w:val="22"/>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